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0BFB" w14:textId="40FE5692" w:rsidR="00773D90" w:rsidRPr="00773D90" w:rsidRDefault="00773D90" w:rsidP="00D6234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773D90">
        <w:rPr>
          <w:rFonts w:cs="Arial"/>
          <w:b/>
          <w:sz w:val="28"/>
          <w:szCs w:val="28"/>
        </w:rPr>
        <w:t>Annexe</w:t>
      </w:r>
      <w:r w:rsidR="00606250">
        <w:rPr>
          <w:rFonts w:cs="Arial"/>
          <w:b/>
          <w:sz w:val="28"/>
          <w:szCs w:val="28"/>
        </w:rPr>
        <w:t> </w:t>
      </w:r>
      <w:r w:rsidRPr="00773D90">
        <w:rPr>
          <w:rFonts w:cs="Arial"/>
          <w:b/>
          <w:sz w:val="28"/>
          <w:szCs w:val="28"/>
        </w:rPr>
        <w:t>21</w:t>
      </w:r>
    </w:p>
    <w:p w14:paraId="01610AB9" w14:textId="3D0A7F94" w:rsidR="00D62342" w:rsidRPr="00773D90" w:rsidRDefault="003A694F" w:rsidP="00D6234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773D90">
        <w:rPr>
          <w:rFonts w:cs="Arial"/>
          <w:b/>
          <w:sz w:val="28"/>
          <w:szCs w:val="28"/>
        </w:rPr>
        <w:t xml:space="preserve">Surveillance de </w:t>
      </w:r>
      <w:r w:rsidR="003B7FF8">
        <w:rPr>
          <w:rFonts w:cs="Arial"/>
          <w:b/>
          <w:sz w:val="28"/>
          <w:szCs w:val="28"/>
        </w:rPr>
        <w:t xml:space="preserve">la </w:t>
      </w:r>
      <w:r w:rsidRPr="00773D90">
        <w:rPr>
          <w:rFonts w:cs="Arial"/>
          <w:b/>
          <w:sz w:val="28"/>
          <w:szCs w:val="28"/>
        </w:rPr>
        <w:t xml:space="preserve">construction </w:t>
      </w:r>
      <w:r w:rsidR="0003546F" w:rsidRPr="00773D90">
        <w:rPr>
          <w:rFonts w:cs="Arial"/>
          <w:b/>
          <w:sz w:val="28"/>
          <w:szCs w:val="28"/>
        </w:rPr>
        <w:t xml:space="preserve">du revêtement </w:t>
      </w:r>
      <w:r w:rsidRPr="00773D90">
        <w:rPr>
          <w:rFonts w:cs="Arial"/>
          <w:b/>
          <w:sz w:val="28"/>
          <w:szCs w:val="28"/>
        </w:rPr>
        <w:t>de c</w:t>
      </w:r>
      <w:r w:rsidR="00753AB2" w:rsidRPr="00773D90">
        <w:rPr>
          <w:rFonts w:cs="Arial"/>
          <w:b/>
          <w:sz w:val="28"/>
          <w:szCs w:val="28"/>
        </w:rPr>
        <w:t>haussée en béton</w:t>
      </w:r>
    </w:p>
    <w:p w14:paraId="0F399C22" w14:textId="302775CE" w:rsidR="0003546F" w:rsidRDefault="0003546F" w:rsidP="00D62342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3A9100C7" w14:textId="23F74E6A" w:rsidR="00BE19B5" w:rsidRDefault="00BD7DEF" w:rsidP="0003546F">
      <w:r>
        <w:t xml:space="preserve">Le présent tableau inclut les principales vérifications à réaliser pendant la surveillance </w:t>
      </w:r>
      <w:r w:rsidR="0003546F">
        <w:t>de</w:t>
      </w:r>
      <w:r w:rsidR="00CC1647">
        <w:t>s</w:t>
      </w:r>
      <w:r w:rsidR="0003546F">
        <w:t xml:space="preserve"> travaux de construction d</w:t>
      </w:r>
      <w:r w:rsidR="00CC1647">
        <w:t>’un</w:t>
      </w:r>
      <w:r w:rsidR="0003546F">
        <w:t xml:space="preserve"> revêtement de chaussée en béton. </w:t>
      </w:r>
      <w:r>
        <w:t>Toutefois, l</w:t>
      </w:r>
      <w:r w:rsidR="0003546F">
        <w:t xml:space="preserve">a surveillance doit être effectuée de façon exhaustive afin d’assurer le respect des exigences incluses au contrat de l’entrepreneur, notamment celles </w:t>
      </w:r>
      <w:r w:rsidR="0003546F" w:rsidRPr="005874FF">
        <w:t>du chapitre</w:t>
      </w:r>
      <w:r w:rsidR="00606250">
        <w:t> </w:t>
      </w:r>
      <w:r w:rsidR="0003546F" w:rsidRPr="005874FF">
        <w:t>1</w:t>
      </w:r>
      <w:r w:rsidR="0003546F">
        <w:t>4</w:t>
      </w:r>
      <w:r w:rsidR="00773D90">
        <w:t> </w:t>
      </w:r>
      <w:r w:rsidR="0003546F" w:rsidRPr="005874FF">
        <w:t>«</w:t>
      </w:r>
      <w:r w:rsidR="00350805">
        <w:t> </w:t>
      </w:r>
      <w:r w:rsidR="0003546F" w:rsidRPr="005874FF">
        <w:t xml:space="preserve">Revêtement </w:t>
      </w:r>
      <w:r w:rsidR="0003546F">
        <w:t>de chaussée en béton</w:t>
      </w:r>
      <w:r w:rsidR="0003546F" w:rsidRPr="005874FF">
        <w:t xml:space="preserve"> » du </w:t>
      </w:r>
      <w:r w:rsidR="0003546F" w:rsidRPr="001A2740">
        <w:rPr>
          <w:i/>
        </w:rPr>
        <w:t>Cahier des charges et devis généraux –</w:t>
      </w:r>
      <w:r w:rsidR="00CC1647" w:rsidRPr="001A2740">
        <w:rPr>
          <w:i/>
        </w:rPr>
        <w:t xml:space="preserve"> Infrastructures routières –</w:t>
      </w:r>
      <w:r w:rsidR="0003546F" w:rsidRPr="001A2740">
        <w:rPr>
          <w:i/>
        </w:rPr>
        <w:t xml:space="preserve"> Construction et réparation</w:t>
      </w:r>
      <w:r w:rsidR="0003546F" w:rsidRPr="005874FF">
        <w:t xml:space="preserve"> (CCDG)</w:t>
      </w:r>
      <w:r w:rsidR="0003546F">
        <w:t>.</w:t>
      </w:r>
    </w:p>
    <w:p w14:paraId="435D64D9" w14:textId="77777777" w:rsidR="00C13168" w:rsidRDefault="00C13168" w:rsidP="0003546F"/>
    <w:p w14:paraId="2C104763" w14:textId="77777777" w:rsidR="00C13168" w:rsidRDefault="00C13168" w:rsidP="0003546F"/>
    <w:p w14:paraId="72049FA8" w14:textId="49A0DE88" w:rsidR="008B6428" w:rsidRPr="008B6428" w:rsidRDefault="008B6428" w:rsidP="008B6428">
      <w:pPr>
        <w:pStyle w:val="Sous-titre"/>
        <w:rPr>
          <w:rFonts w:ascii="Arial" w:hAnsi="Arial" w:cs="Arial"/>
          <w:b w:val="0"/>
          <w:sz w:val="24"/>
          <w:szCs w:val="24"/>
        </w:rPr>
        <w:sectPr w:rsidR="008B6428" w:rsidRPr="008B6428" w:rsidSect="003D6B2B">
          <w:headerReference w:type="default" r:id="rId12"/>
          <w:footerReference w:type="default" r:id="rId13"/>
          <w:pgSz w:w="12240" w:h="15840" w:code="1"/>
          <w:pgMar w:top="1247" w:right="992" w:bottom="1361" w:left="1644" w:header="709" w:footer="709" w:gutter="0"/>
          <w:cols w:space="708"/>
          <w:docGrid w:linePitch="360"/>
        </w:sectPr>
      </w:pPr>
    </w:p>
    <w:p w14:paraId="64A2CCFE" w14:textId="77777777" w:rsidR="003D6B2B" w:rsidRDefault="003D6B2B" w:rsidP="00BD7DEF">
      <w:pPr>
        <w:spacing w:after="0" w:line="240" w:lineRule="auto"/>
        <w:ind w:firstLine="425"/>
        <w:rPr>
          <w:rFonts w:ascii="Arial Narrow" w:hAnsi="Arial Narrow"/>
          <w:sz w:val="20"/>
          <w:szCs w:val="20"/>
        </w:rPr>
      </w:pPr>
    </w:p>
    <w:p w14:paraId="227EB9B0" w14:textId="190EB783" w:rsidR="00A168F5" w:rsidRPr="001243D4" w:rsidRDefault="00D62342" w:rsidP="00BD7DEF">
      <w:pPr>
        <w:spacing w:after="0" w:line="240" w:lineRule="auto"/>
        <w:ind w:firstLine="425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Not</w:t>
      </w:r>
      <w:r w:rsidR="001243D4" w:rsidRPr="00496429">
        <w:rPr>
          <w:rFonts w:ascii="Arial Narrow" w:hAnsi="Arial Narrow"/>
          <w:sz w:val="20"/>
          <w:szCs w:val="20"/>
        </w:rPr>
        <w:t xml:space="preserve">e : </w:t>
      </w:r>
      <w:r w:rsidR="00674B12">
        <w:rPr>
          <w:rFonts w:ascii="Arial Narrow" w:hAnsi="Arial Narrow"/>
          <w:sz w:val="20"/>
          <w:szCs w:val="20"/>
        </w:rPr>
        <w:t>C</w:t>
      </w:r>
      <w:r w:rsidR="0008318F">
        <w:rPr>
          <w:rFonts w:ascii="Arial Narrow" w:hAnsi="Arial Narrow"/>
          <w:sz w:val="20"/>
          <w:szCs w:val="20"/>
        </w:rPr>
        <w:t xml:space="preserve"> </w:t>
      </w:r>
      <w:r w:rsidR="0008318F" w:rsidRPr="0008318F">
        <w:rPr>
          <w:rFonts w:ascii="Arial Narrow" w:hAnsi="Arial Narrow"/>
          <w:sz w:val="20"/>
          <w:szCs w:val="20"/>
        </w:rPr>
        <w:t>–</w:t>
      </w:r>
      <w:r w:rsidR="001243D4" w:rsidRPr="00496429">
        <w:rPr>
          <w:rFonts w:ascii="Arial Narrow" w:hAnsi="Arial Narrow"/>
          <w:sz w:val="20"/>
          <w:szCs w:val="20"/>
        </w:rPr>
        <w:t xml:space="preserve"> conforme; </w:t>
      </w:r>
      <w:r w:rsidR="00674B12">
        <w:rPr>
          <w:rFonts w:ascii="Arial Narrow" w:hAnsi="Arial Narrow"/>
          <w:sz w:val="20"/>
          <w:szCs w:val="20"/>
        </w:rPr>
        <w:t>NC</w:t>
      </w:r>
      <w:r w:rsidR="001243D4" w:rsidRPr="00496429">
        <w:rPr>
          <w:rFonts w:ascii="Arial Narrow" w:hAnsi="Arial Narrow"/>
          <w:sz w:val="20"/>
          <w:szCs w:val="20"/>
        </w:rPr>
        <w:t xml:space="preserve"> – non conforme; </w:t>
      </w:r>
      <w:r w:rsidR="00674B12">
        <w:rPr>
          <w:rFonts w:ascii="Arial Narrow" w:hAnsi="Arial Narrow"/>
          <w:sz w:val="20"/>
          <w:szCs w:val="20"/>
        </w:rPr>
        <w:t>S</w:t>
      </w:r>
      <w:r w:rsidR="004E368B">
        <w:rPr>
          <w:rFonts w:ascii="Arial Narrow" w:hAnsi="Arial Narrow"/>
          <w:sz w:val="20"/>
          <w:szCs w:val="20"/>
        </w:rPr>
        <w:t>.</w:t>
      </w:r>
      <w:r w:rsidR="0008318F">
        <w:rPr>
          <w:rFonts w:ascii="Arial Narrow" w:hAnsi="Arial Narrow"/>
          <w:sz w:val="20"/>
          <w:szCs w:val="20"/>
        </w:rPr>
        <w:t> </w:t>
      </w:r>
      <w:r w:rsidR="00674B12">
        <w:rPr>
          <w:rFonts w:ascii="Arial Narrow" w:hAnsi="Arial Narrow"/>
          <w:sz w:val="20"/>
          <w:szCs w:val="20"/>
        </w:rPr>
        <w:t>O</w:t>
      </w:r>
      <w:r w:rsidR="004E368B">
        <w:rPr>
          <w:rFonts w:ascii="Arial Narrow" w:hAnsi="Arial Narrow"/>
          <w:sz w:val="20"/>
          <w:szCs w:val="20"/>
        </w:rPr>
        <w:t>.</w:t>
      </w:r>
      <w:r w:rsidR="001243D4" w:rsidRPr="00496429">
        <w:rPr>
          <w:rFonts w:ascii="Arial Narrow" w:hAnsi="Arial Narrow"/>
          <w:sz w:val="20"/>
          <w:szCs w:val="20"/>
        </w:rPr>
        <w:t xml:space="preserve"> – </w:t>
      </w:r>
      <w:r w:rsidR="004E368B">
        <w:rPr>
          <w:rFonts w:ascii="Arial Narrow" w:hAnsi="Arial Narrow"/>
          <w:sz w:val="20"/>
          <w:szCs w:val="20"/>
        </w:rPr>
        <w:t>sans objet</w:t>
      </w:r>
    </w:p>
    <w:tbl>
      <w:tblPr>
        <w:tblStyle w:val="Grilledutableau"/>
        <w:tblW w:w="10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425"/>
        <w:gridCol w:w="567"/>
        <w:gridCol w:w="709"/>
        <w:gridCol w:w="4555"/>
      </w:tblGrid>
      <w:tr w:rsidR="0030430E" w:rsidRPr="00A74BF5" w14:paraId="2A246AC8" w14:textId="77777777" w:rsidTr="009C4B92">
        <w:trPr>
          <w:trHeight w:val="142"/>
          <w:tblHeader/>
          <w:jc w:val="center"/>
        </w:trPr>
        <w:tc>
          <w:tcPr>
            <w:tcW w:w="46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6022981" w14:textId="77777777" w:rsidR="0030430E" w:rsidRPr="00A74BF5" w:rsidRDefault="0030430E" w:rsidP="009C4B92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74BF5">
              <w:rPr>
                <w:rFonts w:ascii="Arial Narrow" w:hAnsi="Arial Narrow" w:cs="Arial"/>
                <w:b/>
                <w:bCs/>
                <w:sz w:val="22"/>
                <w:szCs w:val="22"/>
              </w:rPr>
              <w:t>Éléments à observer</w:t>
            </w:r>
          </w:p>
          <w:p w14:paraId="4BFF35F2" w14:textId="77777777" w:rsidR="0030430E" w:rsidRPr="00A74BF5" w:rsidRDefault="0030430E" w:rsidP="009C4B92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74BF5">
              <w:rPr>
                <w:rFonts w:ascii="Arial Narrow" w:hAnsi="Arial Narrow" w:cs="Arial"/>
                <w:b/>
                <w:bCs/>
                <w:sz w:val="22"/>
                <w:szCs w:val="22"/>
              </w:rPr>
              <w:t>(</w:t>
            </w:r>
            <w:proofErr w:type="gramStart"/>
            <w:r w:rsidRPr="00A74BF5">
              <w:rPr>
                <w:rFonts w:ascii="Arial Narrow" w:hAnsi="Arial Narrow" w:cs="Arial"/>
                <w:b/>
                <w:bCs/>
                <w:sz w:val="22"/>
                <w:szCs w:val="22"/>
              </w:rPr>
              <w:t>références</w:t>
            </w:r>
            <w:proofErr w:type="gramEnd"/>
            <w:r w:rsidRPr="00A74BF5">
              <w:rPr>
                <w:rFonts w:ascii="Arial Narrow" w:hAnsi="Arial Narrow" w:cs="Arial"/>
                <w:b/>
                <w:bCs/>
                <w:sz w:val="22"/>
                <w:szCs w:val="22"/>
              </w:rPr>
              <w:t> : ch. 14 du CCDG, plans et devis)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18C556F7" w14:textId="77777777" w:rsidR="0030430E" w:rsidRPr="00A74BF5" w:rsidRDefault="0030430E" w:rsidP="009C4B92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74BF5">
              <w:rPr>
                <w:rFonts w:ascii="Arial Narrow" w:hAnsi="Arial Narrow" w:cs="Arial"/>
                <w:b/>
                <w:bCs/>
                <w:sz w:val="22"/>
                <w:szCs w:val="22"/>
              </w:rPr>
              <w:t>Surveillant</w:t>
            </w:r>
          </w:p>
        </w:tc>
        <w:tc>
          <w:tcPr>
            <w:tcW w:w="45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5A5F13C" w14:textId="77777777" w:rsidR="0030430E" w:rsidRPr="00A74BF5" w:rsidRDefault="0030430E" w:rsidP="009C4B92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74BF5">
              <w:rPr>
                <w:rFonts w:ascii="Arial Narrow" w:hAnsi="Arial Narrow" w:cs="Arial"/>
                <w:b/>
                <w:bCs/>
                <w:sz w:val="22"/>
                <w:szCs w:val="22"/>
              </w:rPr>
              <w:t>Remarques</w:t>
            </w:r>
          </w:p>
        </w:tc>
      </w:tr>
      <w:tr w:rsidR="0030430E" w:rsidRPr="00A74BF5" w14:paraId="7479D8D3" w14:textId="77777777" w:rsidTr="009C4B92">
        <w:trPr>
          <w:trHeight w:val="295"/>
          <w:tblHeader/>
          <w:jc w:val="center"/>
        </w:trPr>
        <w:tc>
          <w:tcPr>
            <w:tcW w:w="46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214848" w14:textId="77777777" w:rsidR="0030430E" w:rsidRPr="00A74BF5" w:rsidRDefault="0030430E" w:rsidP="009C4B92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1DED2E3" w14:textId="77777777" w:rsidR="0030430E" w:rsidRPr="00A74BF5" w:rsidRDefault="0030430E" w:rsidP="009C4B92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6A6A6" w:themeFill="background1" w:themeFillShade="A6"/>
            <w:vAlign w:val="center"/>
          </w:tcPr>
          <w:p w14:paraId="3C4D3B69" w14:textId="77777777" w:rsidR="0030430E" w:rsidRPr="00A74BF5" w:rsidRDefault="0030430E" w:rsidP="009C4B92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NC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79ED0907" w14:textId="77777777" w:rsidR="0030430E" w:rsidRPr="00A74BF5" w:rsidRDefault="0030430E" w:rsidP="009C4B92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S. O.</w:t>
            </w:r>
          </w:p>
        </w:tc>
        <w:tc>
          <w:tcPr>
            <w:tcW w:w="45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80423D" w14:textId="77777777" w:rsidR="0030430E" w:rsidRPr="00A74BF5" w:rsidRDefault="0030430E" w:rsidP="009C4B92">
            <w:pPr>
              <w:spacing w:before="20" w:after="2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8027CC1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801F7A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 xml:space="preserve">Préparation de la surface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44328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527EF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DEAC7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8BB098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E33F549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8C12C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accotements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d’une largeur permettant le passage des chenilles de la machine à coffrage (élargissement d’au moins 1,35 m)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976C4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21E1F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E5DEF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6E88C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6E9A545A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55D4B9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Surface granulaire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9CEA9EE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859D87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D13DB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B3A8201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471BC499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A2E16E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excavation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d’une profondeur minimale exigée aux plans et devis de la surface granulaire existante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0AEFF9E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91354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B4C4D3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EF8DB1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6D0FD940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200D2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enlèvement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des cailloux d’une dimension &gt; 80 mm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F62698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378CD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AE134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F279870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2A50242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E60EB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vibration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(compactage) interdite à moins de 60 m du revêtement de chaussée en béton dès sa mise en place et jusqu’à l’atteinte de 70 % de </w:t>
            </w:r>
            <w:proofErr w:type="spellStart"/>
            <w:r w:rsidRPr="00A74BF5">
              <w:rPr>
                <w:rFonts w:ascii="Arial Narrow" w:hAnsi="Arial Narrow"/>
                <w:bCs/>
              </w:rPr>
              <w:t>f’</w:t>
            </w:r>
            <w:r w:rsidRPr="00A74BF5">
              <w:rPr>
                <w:rFonts w:ascii="Arial Narrow" w:hAnsi="Arial Narrow"/>
                <w:bCs/>
                <w:vertAlign w:val="subscript"/>
              </w:rPr>
              <w:t>c</w:t>
            </w:r>
            <w:proofErr w:type="spellEnd"/>
            <w:r w:rsidRPr="00A74BF5">
              <w:rPr>
                <w:rFonts w:ascii="Arial Narrow" w:hAnsi="Arial Narrow"/>
                <w:bCs/>
              </w:rPr>
              <w:t xml:space="preserve"> mesurée sur les éprouvettes-témoins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6A8C3C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6C84A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52A248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CC846C6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43CE0D2B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88AC4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compactage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(art. 12.3.3 du CCDG)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44078C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66B35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FA5E1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DF8FB51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779D1AC9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C140B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humidité</w:t>
            </w:r>
            <w:proofErr w:type="gramEnd"/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F9D9A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1F34C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8AC1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2E69CA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2607C3C5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1977E5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Surface en enrobé ou en béton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19752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0B0B87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A11F1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31C2B8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0F2BF75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EE1584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réparations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réalisées (art. 14.4 du CCDG et </w:t>
            </w:r>
            <w:r w:rsidRPr="00A74BF5">
              <w:rPr>
                <w:rFonts w:ascii="Arial Narrow" w:hAnsi="Arial Narrow"/>
                <w:bCs/>
                <w:i/>
                <w:iCs/>
              </w:rPr>
              <w:t>Guide d’entretien et de réhabilitation des chaussées en béton de ciment</w:t>
            </w:r>
            <w:r w:rsidRPr="00A74BF5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BC1E3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E0768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F30029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FE13E9D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0AE7B61B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BD5499" w14:textId="77777777" w:rsidR="0030430E" w:rsidRPr="00A74BF5" w:rsidRDefault="0030430E" w:rsidP="009C4B92">
            <w:pPr>
              <w:pStyle w:val="Paragraphedeliste"/>
              <w:numPr>
                <w:ilvl w:val="0"/>
                <w:numId w:val="4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traitement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par temps chaud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6332B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E9CAA9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4900C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EB1CC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7B36120C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1D8DC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bookmarkStart w:id="0" w:name="_Hlk65067474"/>
            <w:r w:rsidRPr="00A74BF5">
              <w:rPr>
                <w:rFonts w:ascii="Arial Narrow" w:hAnsi="Arial Narrow" w:cs="Arial"/>
                <w:b/>
                <w:bCs/>
              </w:rPr>
              <w:t>Inspection de la surface avant la pose des paniers </w:t>
            </w:r>
            <w:bookmarkEnd w:id="0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2972D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C26C8B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EEF9E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8F71D91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8E529E0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F5669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profil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final de la surface à recouvrir (tolérance maximale de 10 mm par rapport au profil exigé)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882E45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7DE00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0835E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088BB9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65447F70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843EFA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irrégularité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ou dénivellation de surface (± 10 mm max. dans 3 m)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E70FD6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B6003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32B60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7E6DBB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02B88155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D9EA18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propreté</w:t>
            </w:r>
            <w:proofErr w:type="gramEnd"/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F65E9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798298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D723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26EFB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Cs/>
              </w:rPr>
            </w:pPr>
          </w:p>
        </w:tc>
      </w:tr>
      <w:tr w:rsidR="0030430E" w:rsidRPr="00A74BF5" w14:paraId="081CFBF5" w14:textId="77777777" w:rsidTr="009C4B92">
        <w:trPr>
          <w:trHeight w:val="260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464DF3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Entreposage et manutention des matériaux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296CB3" w14:textId="77777777" w:rsidR="0030430E" w:rsidRPr="00A74BF5" w:rsidRDefault="0030430E" w:rsidP="009C4B9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73BDE86" w14:textId="77777777" w:rsidR="0030430E" w:rsidRPr="00A74BF5" w:rsidRDefault="0030430E" w:rsidP="009C4B9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D4B02B" w14:textId="77777777" w:rsidR="0030430E" w:rsidRPr="00A74BF5" w:rsidRDefault="0030430E" w:rsidP="009C4B92">
            <w:pPr>
              <w:spacing w:before="60" w:after="6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773444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A309F78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FAA504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entreposage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des polymères renforcés de fibres de verre (PRFV) (protégés de l’eau et de la lumière du soleil)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C99817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7909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543923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FF" w:themeFill="background1"/>
          </w:tcPr>
          <w:p w14:paraId="2C4DA7F1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/>
                <w:bCs/>
              </w:rPr>
            </w:pPr>
          </w:p>
        </w:tc>
      </w:tr>
      <w:tr w:rsidR="0030430E" w:rsidRPr="00A74BF5" w14:paraId="32ED3E2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628D0A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transport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des paniers sur les palettes jusqu’à l’endroit de l’installation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C9BFA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A4FC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640EB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C945E2B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/>
                <w:bCs/>
              </w:rPr>
            </w:pPr>
          </w:p>
        </w:tc>
      </w:tr>
      <w:tr w:rsidR="0030430E" w:rsidRPr="00A74BF5" w14:paraId="36B40F3A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758620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pose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sur une surface plane et propre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A7696C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40803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342245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13ABD6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/>
                <w:bCs/>
              </w:rPr>
            </w:pPr>
          </w:p>
        </w:tc>
      </w:tr>
      <w:tr w:rsidR="0030430E" w:rsidRPr="00A74BF5" w14:paraId="5670AA5F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8FFC9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Mise en place des paniers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39821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40451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A70E3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D96125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CD6721C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4E7DD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installation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sur une distance minimale de 100 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D7FCB9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B27CE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C6E9F5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AE34B8F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6DD2758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468C1" w14:textId="77777777" w:rsidR="0030430E" w:rsidRPr="00A74BF5" w:rsidRDefault="0030430E" w:rsidP="009C4B92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espacement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exigé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A9359A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E3359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248B6DC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3FEF3D6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5C95180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3B2333" w14:textId="77777777" w:rsidR="0030430E" w:rsidRPr="00A74BF5" w:rsidRDefault="0030430E" w:rsidP="009C4B92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nombre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goujons par panier en fonction de leur positionnement (minimum 4)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C23943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1BA218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65BF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3A4010E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6879386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8660E" w14:textId="77777777" w:rsidR="0030430E" w:rsidRPr="00A74BF5" w:rsidRDefault="0030430E" w:rsidP="009C4B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type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pattes (en U ou en V) selon les plans et devis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FF6A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B26877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8950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FE95C53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E9EE700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335E70" w14:textId="77777777" w:rsidR="0030430E" w:rsidRPr="00A74BF5" w:rsidRDefault="0030430E" w:rsidP="009C4B92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lastRenderedPageBreak/>
              <w:t>fixation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solide au sol à l’aide d’ancrages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BAB19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3C1C4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516175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right w:val="single" w:sz="12" w:space="0" w:color="auto"/>
            </w:tcBorders>
          </w:tcPr>
          <w:p w14:paraId="3B89C031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2622B3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0C49E" w14:textId="77777777" w:rsidR="0030430E" w:rsidRPr="00A74BF5" w:rsidRDefault="0030430E" w:rsidP="009C4B92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alignement</w:t>
            </w:r>
            <w:proofErr w:type="gramEnd"/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539E2B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E79702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C991B31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left w:val="single" w:sz="12" w:space="0" w:color="auto"/>
              <w:right w:val="single" w:sz="12" w:space="0" w:color="auto"/>
            </w:tcBorders>
          </w:tcPr>
          <w:p w14:paraId="78B4FD31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52AC466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201AAC" w14:textId="77777777" w:rsidR="0030430E" w:rsidRPr="00A74BF5" w:rsidRDefault="0030430E" w:rsidP="009C4B92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fil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transport d’un diamètre &gt; 5 mm coupé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ABF57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F51D9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A7DF72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right w:val="single" w:sz="12" w:space="0" w:color="auto"/>
            </w:tcBorders>
          </w:tcPr>
          <w:p w14:paraId="6D7ED127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C774254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BD4104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Goujons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406A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D2F0F9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765AD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88BAE9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1A3BAB2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86781" w14:textId="77777777" w:rsidR="0030430E" w:rsidRPr="00A74BF5" w:rsidRDefault="0030430E" w:rsidP="009C4B92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état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des goujons : exempts de bavures, de distorsions et de plis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CE7BBA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16857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80B7FC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right w:val="single" w:sz="12" w:space="0" w:color="auto"/>
            </w:tcBorders>
          </w:tcPr>
          <w:p w14:paraId="5C30A7D7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3A0973F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E2578" w14:textId="77777777" w:rsidR="0030430E" w:rsidRPr="00A74BF5" w:rsidRDefault="0030430E" w:rsidP="009C4B92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localisation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premier goujon à une distance de 175 ± 25 mm du joint longitudinal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830282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81963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6DB13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3C1DB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79C1151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71791" w14:textId="77777777" w:rsidR="0030430E" w:rsidRPr="00A74BF5" w:rsidRDefault="0030430E" w:rsidP="009C4B92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espacement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300 mm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0AFDAB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65509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AD128E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51B691C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D2BC03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12878" w14:textId="77777777" w:rsidR="0030430E" w:rsidRPr="00A74BF5" w:rsidRDefault="0030430E" w:rsidP="009C4B92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centrés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par rapport au joint transversal (± 6 mm max.)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98A477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E502E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44ACAA1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F04FB5C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8D7F2EF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79652E" w14:textId="77777777" w:rsidR="0030430E" w:rsidRPr="00A74BF5" w:rsidRDefault="0030430E" w:rsidP="009C4B92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emplacement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dans le panier : centrés, parallèles entre eux et au sol (± 6 mm max. en axes vertical et horizontal)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62B6AE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B10DE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6F965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right w:val="single" w:sz="12" w:space="0" w:color="auto"/>
            </w:tcBorders>
          </w:tcPr>
          <w:p w14:paraId="64E824C8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79F5449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9257" w14:textId="77777777" w:rsidR="0030430E" w:rsidRPr="00A74BF5" w:rsidRDefault="0030430E" w:rsidP="009C4B92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positionnement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vertical à h/2 (± 12 mm max.)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51EDF37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A0F5B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003CA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right w:val="single" w:sz="12" w:space="0" w:color="auto"/>
            </w:tcBorders>
          </w:tcPr>
          <w:p w14:paraId="6622FF0C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95B94F6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1680F" w14:textId="77777777" w:rsidR="0030430E" w:rsidRPr="00A74BF5" w:rsidRDefault="0030430E" w:rsidP="009C4B92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="Arial Narrow" w:eastAsiaTheme="minorHAnsi" w:hAnsi="Arial Narrow" w:cstheme="minorBidi"/>
                <w:bCs/>
                <w:lang w:eastAsia="en-US"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fixation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d’une seule extrémité au panier; côté fixé déterminé en alternance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7B1E4B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A0DF9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AF18F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right w:val="single" w:sz="12" w:space="0" w:color="auto"/>
            </w:tcBorders>
          </w:tcPr>
          <w:p w14:paraId="545CDB72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DABB265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E4E1A" w14:textId="77777777" w:rsidR="0030430E" w:rsidRPr="00A74BF5" w:rsidRDefault="0030430E" w:rsidP="009C4B92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solidité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la soudure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7B6FFC8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7F685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CD17191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right w:val="single" w:sz="12" w:space="0" w:color="auto"/>
            </w:tcBorders>
          </w:tcPr>
          <w:p w14:paraId="39FEC3D6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6DAA62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E7BBBC" w14:textId="77777777" w:rsidR="0030430E" w:rsidRPr="00A74BF5" w:rsidRDefault="0030430E" w:rsidP="009C4B92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traitement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avec enduit anticorrosion et contre l’adhérence (</w:t>
            </w:r>
            <w:proofErr w:type="spellStart"/>
            <w:r w:rsidRPr="00A74BF5">
              <w:rPr>
                <w:rFonts w:ascii="Arial Narrow" w:hAnsi="Arial Narrow"/>
                <w:bCs/>
              </w:rPr>
              <w:t>Tectyl</w:t>
            </w:r>
            <w:proofErr w:type="spellEnd"/>
            <w:r w:rsidRPr="00A74BF5">
              <w:rPr>
                <w:rFonts w:ascii="Arial Narrow" w:hAnsi="Arial Narrow"/>
                <w:bCs/>
              </w:rPr>
              <w:t> 506 ou équivalent)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B19FCA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FD847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CF396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DAB18F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FCFD3CE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5BD0E" w14:textId="77777777" w:rsidR="0030430E" w:rsidRPr="00A74BF5" w:rsidRDefault="0030430E" w:rsidP="009C4B92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installation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dans le béton durci : à 70 % de </w:t>
            </w:r>
            <w:proofErr w:type="spellStart"/>
            <w:r w:rsidRPr="00A74BF5">
              <w:rPr>
                <w:rFonts w:ascii="Arial Narrow" w:hAnsi="Arial Narrow"/>
                <w:bCs/>
              </w:rPr>
              <w:t>f’</w:t>
            </w:r>
            <w:r w:rsidRPr="00A74BF5">
              <w:rPr>
                <w:rFonts w:ascii="Arial Narrow" w:hAnsi="Arial Narrow"/>
                <w:bCs/>
                <w:vertAlign w:val="subscript"/>
              </w:rPr>
              <w:t>c</w:t>
            </w:r>
            <w:proofErr w:type="spellEnd"/>
            <w:r w:rsidRPr="00A74BF5">
              <w:rPr>
                <w:rFonts w:ascii="Arial Narrow" w:eastAsiaTheme="minorHAnsi" w:hAnsi="Arial Narrow" w:cstheme="minorBidi"/>
                <w:bCs/>
                <w:lang w:eastAsia="en-US"/>
              </w:rPr>
              <w:t xml:space="preserve"> </w:t>
            </w:r>
            <w:r w:rsidRPr="00A74BF5">
              <w:rPr>
                <w:rFonts w:ascii="Arial Narrow" w:hAnsi="Arial Narrow"/>
                <w:bCs/>
              </w:rPr>
              <w:t>mesurée sur des éprouvettes-témoins ou après une cure minimale de 48 h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BD2781B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56A296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A83B3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F4AE4F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A6BD90A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D6E23" w14:textId="77777777" w:rsidR="0030430E" w:rsidRPr="00A74BF5" w:rsidRDefault="0030430E" w:rsidP="009C4B92">
            <w:pPr>
              <w:pStyle w:val="Paragraphedeliste"/>
              <w:numPr>
                <w:ilvl w:val="0"/>
                <w:numId w:val="6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installation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des goujons dans les paniers d’arrêt-départ avec un liant époxydique (art. 14.2.2.6 du CCDG)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77088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90399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EB94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1623E5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470887E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722E19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Tirants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F4A4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B14D6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F41AF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BAB9A3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A57FF20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1214B" w14:textId="77777777" w:rsidR="0030430E" w:rsidRPr="00A74BF5" w:rsidRDefault="0030430E" w:rsidP="009C4B92">
            <w:pPr>
              <w:pStyle w:val="Paragraphedeliste"/>
              <w:numPr>
                <w:ilvl w:val="0"/>
                <w:numId w:val="7"/>
              </w:numPr>
              <w:spacing w:before="40" w:after="4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état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des tirants : propres et exempts de toute substance, non déformés, tordus ou pliés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D6F3B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50998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1EDF6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C7883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9FD849C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337AD" w14:textId="77777777" w:rsidR="0030430E" w:rsidRPr="00A74BF5" w:rsidRDefault="0030430E" w:rsidP="009C4B92">
            <w:pPr>
              <w:pStyle w:val="Paragraphedeliste"/>
              <w:numPr>
                <w:ilvl w:val="0"/>
                <w:numId w:val="7"/>
              </w:numPr>
              <w:spacing w:before="40" w:after="4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localisation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premier tirant à une distance de 450 mm du joint transversal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DBEBD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F4A5F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F303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3AB9F9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C3F267E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537F4" w14:textId="77777777" w:rsidR="0030430E" w:rsidRPr="00A74BF5" w:rsidRDefault="0030430E" w:rsidP="009C4B92">
            <w:pPr>
              <w:pStyle w:val="Paragraphedeliste"/>
              <w:numPr>
                <w:ilvl w:val="0"/>
                <w:numId w:val="7"/>
              </w:numPr>
              <w:spacing w:before="40" w:after="4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emplacement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dans le panier : centrés, parallèles entre eux et au sol (± 6 mm max. en axes vertical et horizontal)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D058F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F1E6F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135F5B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E1FFD25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03BFC7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4A201" w14:textId="77777777" w:rsidR="0030430E" w:rsidRPr="00A74BF5" w:rsidRDefault="0030430E" w:rsidP="009C4B92">
            <w:pPr>
              <w:pStyle w:val="Paragraphedeliste"/>
              <w:numPr>
                <w:ilvl w:val="0"/>
                <w:numId w:val="7"/>
              </w:numPr>
              <w:spacing w:before="40" w:after="4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positionnement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vertical à h/2 (± 12 mm max.)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35B7C3B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DC755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58F2C8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right w:val="single" w:sz="12" w:space="0" w:color="auto"/>
            </w:tcBorders>
          </w:tcPr>
          <w:p w14:paraId="70AB21C8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2E5F29A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50BF4A" w14:textId="77777777" w:rsidR="0030430E" w:rsidRPr="00A74BF5" w:rsidRDefault="0030430E" w:rsidP="009C4B92">
            <w:pPr>
              <w:pStyle w:val="Paragraphedeliste"/>
              <w:numPr>
                <w:ilvl w:val="0"/>
                <w:numId w:val="7"/>
              </w:numPr>
              <w:spacing w:before="40" w:after="4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fixation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au panier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C748E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45C48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904DD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084904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B575A14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8B0BF" w14:textId="77777777" w:rsidR="0030430E" w:rsidRPr="00A74BF5" w:rsidRDefault="0030430E" w:rsidP="009C4B92">
            <w:pPr>
              <w:pStyle w:val="Paragraphedeliste"/>
              <w:numPr>
                <w:ilvl w:val="0"/>
                <w:numId w:val="7"/>
              </w:numPr>
              <w:spacing w:before="40" w:after="40"/>
              <w:ind w:left="284" w:hanging="284"/>
              <w:rPr>
                <w:rFonts w:ascii="Arial Narrow" w:eastAsiaTheme="minorHAnsi" w:hAnsi="Arial Narrow" w:cstheme="minorBidi"/>
                <w:bCs/>
                <w:lang w:eastAsia="en-US"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uniquement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pour le joint longitudinal de construction : installation dans le béton frais par insertion automatique; tirants centrés, parallèles entre eux et au sol (± 6 mm max. en axes vertical et horizontal)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C16F12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CEF4A8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CB92E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905FB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A25AD6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7A0AF" w14:textId="77777777" w:rsidR="0030430E" w:rsidRPr="00A74BF5" w:rsidRDefault="0030430E" w:rsidP="009C4B92">
            <w:pPr>
              <w:pStyle w:val="Paragraphedeliste"/>
              <w:numPr>
                <w:ilvl w:val="0"/>
                <w:numId w:val="7"/>
              </w:numPr>
              <w:spacing w:before="40" w:after="4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installation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dans le béton durci : à 70 % de </w:t>
            </w:r>
            <w:proofErr w:type="spellStart"/>
            <w:r w:rsidRPr="00A74BF5">
              <w:rPr>
                <w:rFonts w:ascii="Arial Narrow" w:hAnsi="Arial Narrow"/>
                <w:bCs/>
              </w:rPr>
              <w:t>f’</w:t>
            </w:r>
            <w:r w:rsidRPr="00A74BF5">
              <w:rPr>
                <w:rFonts w:ascii="Arial Narrow" w:hAnsi="Arial Narrow"/>
                <w:bCs/>
                <w:vertAlign w:val="subscript"/>
              </w:rPr>
              <w:t>c</w:t>
            </w:r>
            <w:proofErr w:type="spellEnd"/>
            <w:r w:rsidRPr="00A74BF5">
              <w:rPr>
                <w:rFonts w:ascii="Arial Narrow" w:eastAsiaTheme="minorHAnsi" w:hAnsi="Arial Narrow" w:cstheme="minorBidi"/>
                <w:bCs/>
                <w:lang w:eastAsia="en-US"/>
              </w:rPr>
              <w:t xml:space="preserve"> </w:t>
            </w:r>
            <w:r w:rsidRPr="00A74BF5">
              <w:rPr>
                <w:rFonts w:ascii="Arial Narrow" w:hAnsi="Arial Narrow"/>
                <w:bCs/>
              </w:rPr>
              <w:t>mesurée sur des éprouvettes-témoins ou après une cure minimale de 48 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84C374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2B47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001AF6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B35737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1C1013A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AFD46" w14:textId="77777777" w:rsidR="0030430E" w:rsidRPr="00A74BF5" w:rsidRDefault="0030430E" w:rsidP="009C4B92">
            <w:pPr>
              <w:pStyle w:val="Paragraphedeliste"/>
              <w:numPr>
                <w:ilvl w:val="0"/>
                <w:numId w:val="7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lastRenderedPageBreak/>
              <w:t>essais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résistance en traction (si requis, dans le béton durci, après le temps de cure du produit d’ancrage spécifié par le fabricant)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5335A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A3D3B1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1379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DE827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D49A72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CE042C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Armature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2C90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67D2F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15F08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BB942EF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FCD01F1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DBB2A" w14:textId="77777777" w:rsidR="0030430E" w:rsidRPr="00A74BF5" w:rsidRDefault="0030430E" w:rsidP="009C4B92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emplacement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(en plan horizontal et vertical)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21FEB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36999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FE6A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30DE4C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130004B6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D06FD1" w14:textId="77777777" w:rsidR="0030430E" w:rsidRPr="00A74BF5" w:rsidRDefault="0030430E" w:rsidP="009C4B92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chevauchement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des barres selon les plans (700 mm</w:t>
            </w:r>
            <w:r w:rsidRPr="00A74BF5">
              <w:rPr>
                <w:rFonts w:ascii="Arial Narrow" w:eastAsiaTheme="minorHAnsi" w:hAnsi="Arial Narrow" w:cstheme="minorBidi"/>
                <w:bCs/>
                <w:lang w:eastAsia="en-US"/>
              </w:rPr>
              <w:t xml:space="preserve"> </w:t>
            </w:r>
            <w:r w:rsidRPr="00A74BF5">
              <w:rPr>
                <w:rFonts w:ascii="Arial Narrow" w:hAnsi="Arial Narrow"/>
                <w:bCs/>
              </w:rPr>
              <w:t>minimum)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55E62B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EE73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FA15A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E1DA998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C86495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18174" w14:textId="77777777" w:rsidR="0030430E" w:rsidRPr="00A74BF5" w:rsidRDefault="0030430E" w:rsidP="009C4B92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pour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le béton armé continu (BAC) : aux joints de construction, installation de barres d’armature 15M supplémentaires, d’une longueur minimale de 1800 mm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48FEF9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86E3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FDA3C4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524858DF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6313312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95346" w14:textId="77777777" w:rsidR="0030430E" w:rsidRPr="00A74BF5" w:rsidRDefault="0030430E" w:rsidP="009C4B92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pour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le BAC : installation de barres d’armature transversales en oblique avec un angle de 30° par rapport à l’axe transversal de la route; une barre sur deux supportée sur au moins 75 % de sa longueur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EBC59C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CD0DB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794314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B340859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40421CE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11360" w14:textId="77777777" w:rsidR="0030430E" w:rsidRPr="00A74BF5" w:rsidRDefault="0030430E" w:rsidP="009C4B92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pour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le BAC : installation de barres d’armature longitudinales sur des barres d’armature transversales (espacement et recouvrement selon les plans)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D141E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A610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3CC9647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52127E4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B152D4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1BCB8" w14:textId="77777777" w:rsidR="0030430E" w:rsidRPr="00A74BF5" w:rsidRDefault="0030430E" w:rsidP="009C4B92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cales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en acier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01B35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4ACC6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1631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94307F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CAD5DF9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634DC" w14:textId="77777777" w:rsidR="0030430E" w:rsidRPr="00A74BF5" w:rsidRDefault="0030430E" w:rsidP="009C4B92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fixation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au sol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FD6CDB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9FA22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1B96F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7C614C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874E185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FB1098" w14:textId="77777777" w:rsidR="0030430E" w:rsidRPr="00A74BF5" w:rsidRDefault="0030430E" w:rsidP="009C4B92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état</w:t>
            </w:r>
            <w:proofErr w:type="gramEnd"/>
            <w:r w:rsidRPr="00A74BF5">
              <w:rPr>
                <w:rFonts w:ascii="Arial Narrow" w:hAnsi="Arial Narrow"/>
                <w:bCs/>
              </w:rPr>
              <w:t> : barres propres et exemptes de toute substance, non déformées, tordues ou pliées, exemptes de piqûres ou de feuillets de rouille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B869D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C22A8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6AF2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DA156D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1418666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C8CE0" w14:textId="77777777" w:rsidR="0030430E" w:rsidRPr="00A74BF5" w:rsidRDefault="0030430E" w:rsidP="009C4B92">
            <w:pPr>
              <w:pStyle w:val="Paragraphedeliste"/>
              <w:numPr>
                <w:ilvl w:val="0"/>
                <w:numId w:val="8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regard</w:t>
            </w:r>
            <w:proofErr w:type="gramEnd"/>
            <w:r w:rsidRPr="00A74BF5">
              <w:rPr>
                <w:rFonts w:ascii="Arial Narrow" w:hAnsi="Arial Narrow"/>
                <w:bCs/>
              </w:rPr>
              <w:t>-puisard : positionnement vertical h/2</w:t>
            </w:r>
            <w:r w:rsidRPr="00A74BF5">
              <w:rPr>
                <w:rFonts w:ascii="Arial Narrow" w:eastAsiaTheme="minorHAnsi" w:hAnsi="Arial Narrow" w:cstheme="minorBidi"/>
                <w:bCs/>
                <w:lang w:eastAsia="en-US"/>
              </w:rPr>
              <w:t xml:space="preserve"> (</w:t>
            </w:r>
            <w:r w:rsidRPr="00A74BF5">
              <w:rPr>
                <w:rFonts w:ascii="Arial Narrow" w:hAnsi="Arial Narrow"/>
                <w:bCs/>
              </w:rPr>
              <w:t>± 12 mm max.); pour les voies réservées : 2 rangs d’armature, sinon 1 rang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B533E1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F943C05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F5A45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C6C35D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A7F01D0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CDD910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Repères des joints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D04C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37CB7C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25E2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03AFE0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B3D9307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754F71" w14:textId="77777777" w:rsidR="0030430E" w:rsidRPr="00A74BF5" w:rsidRDefault="0030430E" w:rsidP="009C4B92">
            <w:pPr>
              <w:pStyle w:val="Paragraphedeliste"/>
              <w:numPr>
                <w:ilvl w:val="0"/>
                <w:numId w:val="9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emplacement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vis-à-vis des joints transversaux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759BC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AE7346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D25C5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2C3D6E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83EA3F8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3E6D3B" w14:textId="77777777" w:rsidR="0030430E" w:rsidRPr="00A74BF5" w:rsidRDefault="0030430E" w:rsidP="009C4B92">
            <w:pPr>
              <w:pStyle w:val="Paragraphedeliste"/>
              <w:numPr>
                <w:ilvl w:val="0"/>
                <w:numId w:val="9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utilisation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la station totale robotisée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F1234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E4745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074B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997588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D5E6881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53876" w14:textId="77777777" w:rsidR="0030430E" w:rsidRPr="00A74BF5" w:rsidRDefault="0030430E" w:rsidP="009C4B92">
            <w:pPr>
              <w:pStyle w:val="Paragraphedeliste"/>
              <w:numPr>
                <w:ilvl w:val="0"/>
                <w:numId w:val="9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corde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guidage et clous vis-à-vis des joints transversaux de part et d’autre de la dalle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F3D8C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CF9F2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8C39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3D1A4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1454E9BC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BF43C" w14:textId="77777777" w:rsidR="0030430E" w:rsidRPr="00A74BF5" w:rsidRDefault="0030430E" w:rsidP="009C4B92">
            <w:pPr>
              <w:pStyle w:val="Paragraphedeliste"/>
              <w:numPr>
                <w:ilvl w:val="0"/>
                <w:numId w:val="9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pour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le BAC : espacement des joints longitudinaux selon les plans et devis (tous les 5 m)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354D5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E47DC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B566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EF6079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8C1DBE5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79ABB" w14:textId="77777777" w:rsidR="0030430E" w:rsidRPr="00A74BF5" w:rsidRDefault="0030430E" w:rsidP="009C4B92">
            <w:pPr>
              <w:pStyle w:val="Paragraphedeliste"/>
              <w:numPr>
                <w:ilvl w:val="0"/>
                <w:numId w:val="9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uniformité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distance entre les clous et le bord de la coulée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17ABB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232C4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674EE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9DD76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332A7E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DCCD6" w14:textId="77777777" w:rsidR="0030430E" w:rsidRPr="00A74BF5" w:rsidRDefault="0030430E" w:rsidP="009C4B92">
            <w:pPr>
              <w:pStyle w:val="Paragraphedeliste"/>
              <w:numPr>
                <w:ilvl w:val="0"/>
                <w:numId w:val="9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distance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suffisante entre les clous et le bord de la coulée pour éviter d’endommager des repères pendant le bétonnage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48161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8557B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82C0A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590DA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4EDD92F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6119CC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Matériel (type, nombre, disponibilité)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78AC3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1034B01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61626C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10982DC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F5C8D5B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B1C0D0" w14:textId="77777777" w:rsidR="0030430E" w:rsidRPr="00A74BF5" w:rsidRDefault="0030430E" w:rsidP="009C4B92">
            <w:pPr>
              <w:pStyle w:val="Paragraphedeliste"/>
              <w:numPr>
                <w:ilvl w:val="0"/>
                <w:numId w:val="9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camions</w:t>
            </w:r>
            <w:proofErr w:type="gramEnd"/>
            <w:r w:rsidRPr="00A74BF5">
              <w:rPr>
                <w:rFonts w:ascii="Arial Narrow" w:hAnsi="Arial Narrow"/>
                <w:bCs/>
              </w:rPr>
              <w:t> (étanchéité de la benne, propreté avant le chargement; présence et utilisation d’une bâche)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53E973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3D21C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44C91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E391C9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D0528A2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7C4E1" w14:textId="77777777" w:rsidR="0030430E" w:rsidRPr="00A74BF5" w:rsidRDefault="0030430E" w:rsidP="009C4B92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équipements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et matériaux pour la cure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B38F05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9E6B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3C5E16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646F0E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D96EFFF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47957" w14:textId="77777777" w:rsidR="0030430E" w:rsidRPr="00A74BF5" w:rsidRDefault="0030430E" w:rsidP="009C4B92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lastRenderedPageBreak/>
              <w:t>matériel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pour la protection, si requis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2DFB1B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141F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3BCEE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7D8CFF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2855ECA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1EFEA" w14:textId="77777777" w:rsidR="0030430E" w:rsidRPr="00A74BF5" w:rsidRDefault="0030430E" w:rsidP="009C4B92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équipement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d’éclairage, si requis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DDBB9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72C36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BE688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BD12C2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179EB5A9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1923BB5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Regards-puisards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095DCE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C607383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3C53F5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46DE95F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628482A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ABC732" w14:textId="77777777" w:rsidR="0030430E" w:rsidRPr="00A74BF5" w:rsidRDefault="0030430E" w:rsidP="009C4B92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emplacement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05A8D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2B64F2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C8921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B5A282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40E5D14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565AD" w14:textId="77777777" w:rsidR="0030430E" w:rsidRPr="00A74BF5" w:rsidRDefault="0030430E" w:rsidP="009C4B92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élévation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la pente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A5F6A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2B1683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0B887A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FACA0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4B3E265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591C6" w14:textId="77777777" w:rsidR="0030430E" w:rsidRPr="00A74BF5" w:rsidRDefault="0030430E" w:rsidP="009C4B92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installation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solide de la tête du regard et du système de support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48613AD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AD96E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331EE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1F1D4D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599D317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12B35" w14:textId="77777777" w:rsidR="0030430E" w:rsidRPr="00A74BF5" w:rsidRDefault="0030430E" w:rsidP="009C4B92">
            <w:pPr>
              <w:pStyle w:val="Paragraphedeliste"/>
              <w:numPr>
                <w:ilvl w:val="0"/>
                <w:numId w:val="10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planche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compressible sur le périmètre de la tête (DN II-2-020 du chapitre 2 du </w:t>
            </w:r>
            <w:r w:rsidRPr="00A74BF5">
              <w:rPr>
                <w:rFonts w:ascii="Arial Narrow" w:hAnsi="Arial Narrow"/>
                <w:bCs/>
                <w:i/>
              </w:rPr>
              <w:t>Tome II – Construction routière</w:t>
            </w:r>
            <w:r w:rsidRPr="00A74BF5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E38D6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3CF7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B643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B09D93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/>
                <w:bCs/>
              </w:rPr>
            </w:pPr>
          </w:p>
        </w:tc>
      </w:tr>
      <w:tr w:rsidR="0030430E" w:rsidRPr="00A74BF5" w14:paraId="705758A5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43E629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Autorisation de bétonnage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CE16D5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F2C702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D7884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5949650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3668A87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0AD1F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avis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bétonnage fourni par l’entrepreneur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92E6FC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83064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93A0B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08A4430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D38B0F9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D3384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inspection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des éléments à couvrir avant le bétonnage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0DFF1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FEAD7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510E2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91E9F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57511B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EA19FF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Pendant le bétonnage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9F427CD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6A7A6FC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BDDE46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04FD44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7014A92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6590D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eastAsiaTheme="minorHAnsi" w:hAnsi="Arial Narrow" w:cstheme="minorBidi"/>
                <w:bCs/>
                <w:lang w:eastAsia="en-US"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temps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≤ 45 minutes entre le chargement et le déchargement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B0315F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6DD70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0DF19E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9F0D3FC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3EEF134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680EE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état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et efficacité des vibrateurs lors de chaque coulée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3DD05A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E8D5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F0385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7AF1CC1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7B36787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8309C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température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surface de contact entre 0 °C et 35 °C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F5D868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FF735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F8993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F1A86D5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569B09F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79131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corde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guidage (arrêt des travaux si le bord de la coulée s’écarte de plus de 30 mm sur la longueur de 60 m)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9A9D4E7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595C1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2DA9DB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D9FA72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37EE915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A988FF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moulage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devers, si requis (DN II-2-012 et figure 2.6.1 du chapitre 2 du </w:t>
            </w:r>
            <w:r w:rsidRPr="00A74BF5">
              <w:rPr>
                <w:rFonts w:ascii="Arial Narrow" w:hAnsi="Arial Narrow"/>
                <w:bCs/>
                <w:i/>
              </w:rPr>
              <w:t>Tome II</w:t>
            </w:r>
            <w:r w:rsidRPr="00A74BF5">
              <w:rPr>
                <w:rFonts w:ascii="Arial Narrow" w:hAnsi="Arial Narrow"/>
                <w:bCs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CF9722E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E3CDC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99177F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CB554B2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EA219F4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0C236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homogénéité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béton (la quantité excessive d’eau forme la « pâte » en surface et sur les parois de la dalle; pour vérifier, piquer avec une tige)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0BE78DED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C7DA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AE9272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834DA28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78C0A6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A9549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absence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d’excédent de béton (bavures) dans le bas de la dalle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5CDDDE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C5916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6CFCA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E4FE7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7069277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75E05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verticalité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joint longitudinal pour la pose de la bordure après la coulée de la dalle (tolérance maximale de 3 mm)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85EA86E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049CB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CBD5AD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ED11B05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DAB43A2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DBE9E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arrêt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bétonnage lors de précipitations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FF66FA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5C1E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8D180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2DFC592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42EB03A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E96A3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réalisation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joint de construction si l’interruption &gt; 45 minutes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7F5BD9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7608B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383DC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A7B09A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A0051B4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B8852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retouche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la surface sur le béton suffisamment plastique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719975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CEDCF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A00923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2F69D61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7899FFC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B3A76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enlèvement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l’excédent de béton produit par les coffrages coulissants à la base des côtés de la dalle lorsque le béton est encore plastique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60E931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CB09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80752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C1AB474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BA697C2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CB31DB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dénivellation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&lt; 3 mm entre 2 dalles adjacentes coulées </w:t>
            </w:r>
            <w:r w:rsidRPr="00A74BF5">
              <w:rPr>
                <w:rFonts w:ascii="Arial Narrow" w:hAnsi="Arial Narrow"/>
                <w:bCs/>
              </w:rPr>
              <w:lastRenderedPageBreak/>
              <w:t>successivement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F4477F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lastRenderedPageBreak/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BA738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BEDE79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DB6460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95D68A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8C1FF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bétonnage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manuel : consolidation au moyen d’un vibrateur manuel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DD7294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77A3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F929C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C4E3A0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32ECA09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40FCD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finition</w:t>
            </w:r>
            <w:proofErr w:type="gramEnd"/>
            <w:r w:rsidRPr="00A74BF5">
              <w:rPr>
                <w:rFonts w:ascii="Arial Narrow" w:hAnsi="Arial Narrow"/>
                <w:bCs/>
              </w:rPr>
              <w:t> : règle vibrante et outil de nivellement en alliage de magnésium ou d’aluminium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5F1C78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D3D7C6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0998E7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BA4D1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1AA8E5AB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096229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/>
              </w:rPr>
            </w:pPr>
            <w:r w:rsidRPr="00A74BF5">
              <w:rPr>
                <w:rFonts w:ascii="Arial Narrow" w:hAnsi="Arial Narrow"/>
                <w:b/>
              </w:rPr>
              <w:t>Texture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4077CCA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E4B1D35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AC739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CDA3826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B309788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F9F1F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utilisation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tapis </w:t>
            </w:r>
            <w:proofErr w:type="spellStart"/>
            <w:r w:rsidRPr="00A74BF5">
              <w:rPr>
                <w:rFonts w:ascii="Arial Narrow" w:hAnsi="Arial Narrow"/>
                <w:bCs/>
              </w:rPr>
              <w:t>AstroTurf</w:t>
            </w:r>
            <w:proofErr w:type="spellEnd"/>
            <w:r w:rsidRPr="00A74BF5">
              <w:rPr>
                <w:rFonts w:ascii="Arial Narrow" w:hAnsi="Arial Narrow"/>
                <w:bCs/>
              </w:rPr>
              <w:t xml:space="preserve"> pour texture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708457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5E0B4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E4425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D2EF3B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F3BD1C7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201DD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texture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uniforme avec passerelle automotrice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37E63B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5051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B60ABA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A6FCC5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740D09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BB2AE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profondeur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des rainures (de 3 à 6 mm)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132B2EC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6EF4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169E6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8C7E249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1E5E7B24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E913D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absence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granulats délogés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66921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09B9B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85E7C2C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BCE8F5B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32A40A8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6C8D4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rainurage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arrêté à 50 mm du marquage par incrustation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E73420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BA198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C7164F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53B68A5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918C6D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F4825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alignement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des rainures (± 10 mm max. dans 3 m)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A7F887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9A3DD1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6296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4F3107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45F97E1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91E6B9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Cure du béton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64D2A44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95B2B2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923BD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A0EC9C6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175C041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2829A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uniformité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l’application du produit de cure sur la surface et les parois de la dalle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269556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FEACE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3D161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885D628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0F303A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D640A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température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béton pendant la période de cure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2D3B91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70589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40332E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C5B664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E0E306C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0EC86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température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ambiante pendant la période de cure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0DEA10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D3726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9182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481AE72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352529B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44D04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absence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des travaux causant les vibrations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EB6B9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8C6C1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B39C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31F3E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4B7C59E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837F048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Dalles de transition (DN II-2-013, II-2-014, II-2-015)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09CA2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39E204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48136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C1D8D06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968CFFC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251F34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capuchon</w:t>
            </w:r>
            <w:proofErr w:type="gramEnd"/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02B01C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F115AD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7D95F85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9324AB5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9E3A238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F9BF0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planche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asphaltique en présence de murs en aile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D0E122B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DBB625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E75798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8185E3A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9382F76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345AA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dimensions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la dalle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0246665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91026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26D6B6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ABD3F74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E441FAF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81B867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74BF5">
              <w:rPr>
                <w:rFonts w:ascii="Arial Narrow" w:hAnsi="Arial Narrow"/>
                <w:b/>
                <w:bCs/>
              </w:rPr>
              <w:t>Amorces de fissuration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A8C2F0B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EF59AEE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455F73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36B8117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1A25A84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02542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délai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d’exécution du trait de scie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D224704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0B4FD4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0236A8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7F79F2C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AFA2E8B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73345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trait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scie de 3 mm de largeur au tiers de l’épaisseur de la dalle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3F6DC8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7B1B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E97E9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AA94648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83AF4FF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86409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trait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scie rectiligne (± 6 mm max. dans 3 m)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A82896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F2AD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87B207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6997570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E44108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D5B407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emplacement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(± 12 mm max. par rapport à l’emplacement initial pour un joint transversal et ± 30 mm max. pour un joint longitudinal)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683EC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3CD75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D30C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4B015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31DEF15" w14:textId="77777777" w:rsidTr="009C4B92">
        <w:trPr>
          <w:trHeight w:val="196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43A473B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74BF5">
              <w:rPr>
                <w:rFonts w:ascii="Arial Narrow" w:hAnsi="Arial Narrow"/>
                <w:b/>
                <w:bCs/>
              </w:rPr>
              <w:t>Joints de désolidarisation transversaux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ACB93E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EF4D25D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1371965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9D608D6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55268BB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9BD57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largeur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joint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9917BBD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44D6EE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F6370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AB290B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E31C92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88B0B1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largeur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la planche asphaltique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EF3936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72AE52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7A9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EA0E42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969C580" w14:textId="77777777" w:rsidTr="009C4B92">
        <w:trPr>
          <w:trHeight w:val="280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FF9CF6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74BF5">
              <w:rPr>
                <w:rFonts w:ascii="Arial Narrow" w:hAnsi="Arial Narrow"/>
                <w:b/>
                <w:bCs/>
              </w:rPr>
              <w:t>Joints de construction transversaux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7356C7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79029E3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A3DD14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9652C85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6C532EE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AC1DF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consolidation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avec vibrateur manuel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27C8A5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2F40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E8B00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2B4A25B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52B60DA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FC54E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lastRenderedPageBreak/>
              <w:t>dépassement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3 m du panier d’arrêt-départ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8120F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FD9B51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3F5C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90B18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58CECC4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C2F4977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bookmarkStart w:id="1" w:name="_Hlk63328396"/>
            <w:r w:rsidRPr="00A74BF5">
              <w:rPr>
                <w:rFonts w:ascii="Arial Narrow" w:hAnsi="Arial Narrow"/>
                <w:b/>
                <w:bCs/>
              </w:rPr>
              <w:t>Nettoyage des joints</w:t>
            </w:r>
            <w:bookmarkEnd w:id="1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D220B8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E214E2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EC0F22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  <w:b/>
                <w:bCs/>
                <w:highlight w:val="yellow"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B16D242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/>
                <w:bCs/>
                <w:highlight w:val="yellow"/>
              </w:rPr>
            </w:pPr>
          </w:p>
        </w:tc>
      </w:tr>
      <w:tr w:rsidR="0030430E" w:rsidRPr="00A74BF5" w14:paraId="2844A3E6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3FD49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</w:rPr>
            </w:pPr>
            <w:proofErr w:type="gramStart"/>
            <w:r w:rsidRPr="00A74BF5">
              <w:rPr>
                <w:rFonts w:ascii="Arial Narrow" w:hAnsi="Arial Narrow"/>
              </w:rPr>
              <w:t>jet</w:t>
            </w:r>
            <w:proofErr w:type="gramEnd"/>
            <w:r w:rsidRPr="00A74BF5">
              <w:rPr>
                <w:rFonts w:ascii="Arial Narrow" w:hAnsi="Arial Narrow"/>
              </w:rPr>
              <w:t xml:space="preserve"> d’eau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F8AA72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F917C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D131E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B835444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D3F703F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50774F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</w:rPr>
            </w:pPr>
            <w:proofErr w:type="gramStart"/>
            <w:r w:rsidRPr="00A74BF5">
              <w:rPr>
                <w:rFonts w:ascii="Arial Narrow" w:hAnsi="Arial Narrow"/>
              </w:rPr>
              <w:t>jet</w:t>
            </w:r>
            <w:proofErr w:type="gramEnd"/>
            <w:r w:rsidRPr="00A74BF5">
              <w:rPr>
                <w:rFonts w:ascii="Arial Narrow" w:hAnsi="Arial Narrow"/>
              </w:rPr>
              <w:t xml:space="preserve"> d’abrasif (y inclus les exigences environnementales)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FDF9D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66E64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C1F16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614FCF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5EC85F8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C1F5A1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</w:rPr>
            </w:pPr>
            <w:proofErr w:type="gramStart"/>
            <w:r w:rsidRPr="00A74BF5">
              <w:rPr>
                <w:rFonts w:ascii="Arial Narrow" w:hAnsi="Arial Narrow"/>
              </w:rPr>
              <w:t>jet</w:t>
            </w:r>
            <w:proofErr w:type="gramEnd"/>
            <w:r w:rsidRPr="00A74BF5">
              <w:rPr>
                <w:rFonts w:ascii="Arial Narrow" w:hAnsi="Arial Narrow"/>
              </w:rPr>
              <w:t xml:space="preserve"> d’air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F90C0A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F9A7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6E33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A6753E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8A53D9C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DDC48A6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A74BF5">
              <w:rPr>
                <w:rFonts w:ascii="Arial Narrow" w:hAnsi="Arial Narrow"/>
                <w:b/>
                <w:bCs/>
              </w:rPr>
              <w:t>Réservoir de colmatage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6DBBBB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6BCD97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EF3B0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5B7D64D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/>
                <w:bCs/>
              </w:rPr>
            </w:pPr>
          </w:p>
        </w:tc>
      </w:tr>
      <w:tr w:rsidR="0030430E" w:rsidRPr="00A74BF5" w14:paraId="1DD818A0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96A41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</w:rPr>
            </w:pPr>
            <w:proofErr w:type="gramStart"/>
            <w:r w:rsidRPr="00A74BF5">
              <w:rPr>
                <w:rFonts w:ascii="Arial Narrow" w:hAnsi="Arial Narrow"/>
              </w:rPr>
              <w:t>ouverture</w:t>
            </w:r>
            <w:proofErr w:type="gramEnd"/>
            <w:r w:rsidRPr="00A74BF5">
              <w:rPr>
                <w:rFonts w:ascii="Arial Narrow" w:hAnsi="Arial Narrow"/>
              </w:rPr>
              <w:t xml:space="preserve"> du réservoir et chanfreins de 3 </w:t>
            </w:r>
            <w:r w:rsidRPr="00A74BF5">
              <w:rPr>
                <w:rFonts w:ascii="Arial Narrow" w:eastAsia="MS Gothic" w:hAnsi="Arial Narrow"/>
                <w:color w:val="000000"/>
              </w:rPr>
              <w:t>×</w:t>
            </w:r>
            <w:r w:rsidRPr="00A74BF5">
              <w:rPr>
                <w:rFonts w:ascii="Arial Narrow" w:hAnsi="Arial Narrow"/>
              </w:rPr>
              <w:t xml:space="preserve"> 3 mm (DN II-2-016 du chapitre 2 du </w:t>
            </w:r>
            <w:r w:rsidRPr="00A74BF5">
              <w:rPr>
                <w:rFonts w:ascii="Arial Narrow" w:hAnsi="Arial Narrow"/>
                <w:i/>
              </w:rPr>
              <w:t>Tome II</w:t>
            </w:r>
            <w:r w:rsidRPr="00A74BF5">
              <w:rPr>
                <w:rFonts w:ascii="Arial Narrow" w:hAnsi="Arial Narrow"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AE1E9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D99FE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D7B77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A6D8CD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0430E" w:rsidRPr="00A74BF5" w14:paraId="0E586790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57809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</w:rPr>
            </w:pPr>
            <w:proofErr w:type="gramStart"/>
            <w:r w:rsidRPr="00A74BF5">
              <w:rPr>
                <w:rFonts w:ascii="Arial Narrow" w:hAnsi="Arial Narrow"/>
              </w:rPr>
              <w:t>profondeur</w:t>
            </w:r>
            <w:proofErr w:type="gramEnd"/>
            <w:r w:rsidRPr="00A74BF5">
              <w:rPr>
                <w:rFonts w:ascii="Arial Narrow" w:hAnsi="Arial Narrow"/>
              </w:rPr>
              <w:t xml:space="preserve"> du réservoir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4AB6C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3C5E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B997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 Narrow" w:hAnsi="Arial Narrow"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9C2C32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30430E" w:rsidRPr="00A74BF5" w14:paraId="383FFEF4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89BA47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bookmarkStart w:id="2" w:name="_Hlk63328404"/>
            <w:r w:rsidRPr="00A74BF5">
              <w:rPr>
                <w:rFonts w:ascii="Arial Narrow" w:hAnsi="Arial Narrow"/>
                <w:b/>
                <w:bCs/>
              </w:rPr>
              <w:t>Colmatage du joint </w:t>
            </w:r>
            <w:r w:rsidRPr="00A74BF5">
              <w:rPr>
                <w:rFonts w:ascii="Arial Narrow" w:hAnsi="Arial Narrow"/>
                <w:b/>
              </w:rPr>
              <w:t xml:space="preserve">transversal </w:t>
            </w:r>
            <w:proofErr w:type="spellStart"/>
            <w:r w:rsidRPr="00A74BF5">
              <w:rPr>
                <w:rFonts w:ascii="Arial Narrow" w:hAnsi="Arial Narrow"/>
                <w:b/>
              </w:rPr>
              <w:t>prémoulé</w:t>
            </w:r>
            <w:proofErr w:type="spellEnd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EBC341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5286CB1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DE9DA4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952602B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bookmarkEnd w:id="2"/>
      <w:tr w:rsidR="0030430E" w:rsidRPr="00A74BF5" w14:paraId="538F4B05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4AC5D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température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ambiante supérieure à 5 °C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BF51778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22C76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08ADA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9B9AD3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28C58DAE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DEBC3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étirement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produit </w:t>
            </w:r>
            <w:proofErr w:type="spellStart"/>
            <w:r w:rsidRPr="00A74BF5">
              <w:rPr>
                <w:rFonts w:ascii="Arial Narrow" w:hAnsi="Arial Narrow"/>
                <w:bCs/>
              </w:rPr>
              <w:t>prémoulé</w:t>
            </w:r>
            <w:proofErr w:type="spellEnd"/>
            <w:r w:rsidRPr="00A74BF5">
              <w:rPr>
                <w:rFonts w:ascii="Arial Narrow" w:hAnsi="Arial Narrow"/>
                <w:bCs/>
              </w:rPr>
              <w:t xml:space="preserve"> (max. 3 %, min. –2 %)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8A75B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32AE6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219A97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344EF3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E78DB89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9180A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profondeur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d’installation du produit </w:t>
            </w:r>
            <w:proofErr w:type="spellStart"/>
            <w:r w:rsidRPr="00A74BF5">
              <w:rPr>
                <w:rFonts w:ascii="Arial Narrow" w:hAnsi="Arial Narrow"/>
                <w:bCs/>
              </w:rPr>
              <w:t>prémoulé</w:t>
            </w:r>
            <w:proofErr w:type="spellEnd"/>
            <w:r w:rsidRPr="00A74BF5">
              <w:rPr>
                <w:rFonts w:ascii="Arial Narrow" w:hAnsi="Arial Narrow"/>
                <w:bCs/>
              </w:rPr>
              <w:t xml:space="preserve"> (6 à 9 mm)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7C0A94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EAC87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1D8BF0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8E4850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88053E6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8AF2A1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bookmarkStart w:id="3" w:name="_Hlk63328410"/>
            <w:r w:rsidRPr="00A74BF5">
              <w:rPr>
                <w:rFonts w:ascii="Arial Narrow" w:hAnsi="Arial Narrow"/>
                <w:b/>
                <w:bCs/>
              </w:rPr>
              <w:t>Colmatage du joint longitudinal, colmatage à chaud</w:t>
            </w:r>
            <w:bookmarkEnd w:id="3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68AFEDA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D5FCE6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7E441F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A083906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88411AA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1F8BA6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cordon</w:t>
            </w:r>
            <w:proofErr w:type="gramEnd"/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B3D4B21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77F327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7E18E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54DBE1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93B81DA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6992D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produit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à chaud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4F14D5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DF2624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C7092C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B7AB83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0AE4A54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AF16A0D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Cs/>
              </w:rPr>
            </w:pPr>
            <w:bookmarkStart w:id="4" w:name="_Hlk63328417"/>
            <w:r w:rsidRPr="00A74BF5">
              <w:rPr>
                <w:rFonts w:ascii="Arial Narrow" w:hAnsi="Arial Narrow"/>
                <w:b/>
                <w:bCs/>
              </w:rPr>
              <w:t>Correction des joints</w:t>
            </w:r>
            <w:r w:rsidRPr="00A74BF5">
              <w:rPr>
                <w:rFonts w:ascii="Arial Narrow" w:eastAsiaTheme="minorHAnsi" w:hAnsi="Arial Narrow" w:cstheme="minorBidi"/>
                <w:b/>
                <w:bCs/>
                <w:lang w:eastAsia="en-US"/>
              </w:rPr>
              <w:t xml:space="preserve"> </w:t>
            </w:r>
            <w:r w:rsidRPr="00A74BF5">
              <w:rPr>
                <w:rFonts w:ascii="Arial Narrow" w:hAnsi="Arial Narrow"/>
                <w:b/>
                <w:bCs/>
              </w:rPr>
              <w:t>de construction longitudinaux</w:t>
            </w:r>
            <w:bookmarkEnd w:id="4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A7E571A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BE06D3D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CBB37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0B0FB87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1FDC5A0" w14:textId="77777777" w:rsidTr="009C4B92">
        <w:trPr>
          <w:trHeight w:val="75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663BA7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déviation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&gt; 12 mm sur 3 m par rapport à l’emplacement théorique : scier la dalle jusqu’au tirant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20B45E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61BE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E9CE2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8968875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F707FA2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34BC9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déviation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&gt; 20 mm par rapport à l’emplacement théorique : scier la dalle sur sa pleine épaisseur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0CF54D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F7499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5D0407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145D7B1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11AF06C5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DD5DFE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Cs/>
              </w:rPr>
            </w:pPr>
            <w:bookmarkStart w:id="5" w:name="_Hlk63328424"/>
            <w:r w:rsidRPr="00A74BF5">
              <w:rPr>
                <w:rFonts w:ascii="Arial Narrow" w:hAnsi="Arial Narrow"/>
                <w:b/>
                <w:bCs/>
              </w:rPr>
              <w:t>Traitement de la couronne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5C6BA1BA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28284F36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73A103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47F4B420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bookmarkEnd w:id="5"/>
      <w:tr w:rsidR="0030430E" w:rsidRPr="00A74BF5" w14:paraId="4BF49BB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37090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eastAsiaTheme="minorHAnsi" w:hAnsi="Arial Narrow" w:cstheme="minorBidi"/>
                <w:bCs/>
                <w:lang w:eastAsia="en-US"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par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meulage en cas de différence entre les pentes transversales des deux côtés du joint longitudinal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321F23E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571BA0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CBB79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24E2BD6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AB78099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078A30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eastAsiaTheme="minorHAnsi" w:hAnsi="Arial Narrow" w:cstheme="minorBidi"/>
                <w:bCs/>
                <w:lang w:eastAsia="en-US"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par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moulage en cas de valeur similaire des pentes transversales des deux côtés du joint longitudinal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4D15D2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4B16F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9BC23D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B7FED2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D9CB69E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D6445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par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moulage au joint longitudinal de retrait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8C7A1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359C9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C49EE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1B6C0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5DB644FF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16C78E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Cs/>
              </w:rPr>
            </w:pPr>
            <w:bookmarkStart w:id="6" w:name="_Hlk63328431"/>
            <w:r w:rsidRPr="00A74BF5">
              <w:rPr>
                <w:rFonts w:ascii="Arial Narrow" w:hAnsi="Arial Narrow"/>
                <w:b/>
                <w:bCs/>
              </w:rPr>
              <w:t>Traitement des épaufrures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74F26BAC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319A491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CB048C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C7A5FB3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bookmarkEnd w:id="6"/>
      <w:tr w:rsidR="0030430E" w:rsidRPr="00A74BF5" w14:paraId="11437436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1C4DA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absence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d’épaufrures &gt; 40 mm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169AD5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BF41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740F32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BCC0F7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1B8FB63F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E0319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colmatage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d’épaufrures au moyen d’un produit posé à chaud;</w:t>
            </w:r>
            <w:r w:rsidRPr="00A74BF5">
              <w:rPr>
                <w:rFonts w:ascii="Arial Narrow" w:eastAsiaTheme="minorHAnsi" w:hAnsi="Arial Narrow" w:cstheme="minorBidi"/>
                <w:bCs/>
                <w:lang w:eastAsia="en-US"/>
              </w:rPr>
              <w:t xml:space="preserve"> </w:t>
            </w:r>
            <w:r w:rsidRPr="00A74BF5">
              <w:rPr>
                <w:rFonts w:ascii="Arial Narrow" w:hAnsi="Arial Narrow"/>
                <w:bCs/>
              </w:rPr>
              <w:t>largeur acceptable ≤ 40 mm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159BAD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626F87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5D4D35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F67C8D1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31E89B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F4AD4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colmatage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d’épaufrures localisées sur le coin de la dalle</w:t>
            </w:r>
            <w:r w:rsidRPr="00A74BF5">
              <w:rPr>
                <w:rFonts w:ascii="Arial Narrow" w:eastAsiaTheme="minorHAnsi" w:hAnsi="Arial Narrow" w:cstheme="minorBidi"/>
                <w:bCs/>
                <w:lang w:eastAsia="en-US"/>
              </w:rPr>
              <w:t xml:space="preserve"> </w:t>
            </w:r>
            <w:r w:rsidRPr="00A74BF5">
              <w:rPr>
                <w:rFonts w:ascii="Arial Narrow" w:hAnsi="Arial Narrow"/>
                <w:bCs/>
              </w:rPr>
              <w:t>au moyen d’un produit posé à chaud; longueur acceptable ≤ 40 mm dans chaque direction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F68CD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860E9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B7634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226236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08DA15E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96BC26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Cs/>
              </w:rPr>
            </w:pPr>
            <w:bookmarkStart w:id="7" w:name="_Hlk63328436"/>
            <w:r w:rsidRPr="00A74BF5">
              <w:rPr>
                <w:rFonts w:ascii="Arial Narrow" w:hAnsi="Arial Narrow" w:cs="Arial"/>
                <w:b/>
                <w:bCs/>
              </w:rPr>
              <w:t>Inspection de la dalle</w:t>
            </w:r>
            <w:bookmarkEnd w:id="7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2BCE941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644D3F39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7F5B08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AD3F5E7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3762ED13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748D0F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lastRenderedPageBreak/>
              <w:t>uniformité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la texture (sans interruption)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654403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30F1B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B61B6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646060D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24B6481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2DCF43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profondeur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du rainurage entre 3 et 6 mm et espacé de 19 mm (rainurage longitudinal)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D75239F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E43BE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BDB5FD8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9F8A128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67EABF1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B9510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irrégularité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ou dénivellation de la surface (± 5 mm max. dans 3 m)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1724561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DC676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8364C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7C933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45BE146C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9708E8" w14:textId="77777777" w:rsidR="0030430E" w:rsidRPr="00A74BF5" w:rsidRDefault="0030430E" w:rsidP="009C4B92">
            <w:pPr>
              <w:spacing w:before="60" w:after="60"/>
              <w:rPr>
                <w:rFonts w:ascii="Arial Narrow" w:hAnsi="Arial Narrow"/>
                <w:bCs/>
              </w:rPr>
            </w:pPr>
            <w:r w:rsidRPr="00A74BF5">
              <w:rPr>
                <w:rFonts w:ascii="Arial Narrow" w:hAnsi="Arial Narrow" w:cs="Arial"/>
                <w:b/>
                <w:bCs/>
              </w:rPr>
              <w:t>Profil final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313D6348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1B168113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62670E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</w:p>
        </w:tc>
        <w:tc>
          <w:tcPr>
            <w:tcW w:w="4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F1863EB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C520EC6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25C36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profil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transversal et longitudinal de la surface finale (± 6 mm max. par rapport au profil stipulé)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9384973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6A5B6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EFDDED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021D0BF" w14:textId="77777777" w:rsidR="0030430E" w:rsidRPr="00A74BF5" w:rsidRDefault="0030430E" w:rsidP="009C4B92">
            <w:pPr>
              <w:spacing w:before="60" w:after="60"/>
              <w:jc w:val="left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7B064DFD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D7E2C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mortier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élastomère utilisé pour la réparation &lt; 0,25 m</w:t>
            </w:r>
            <w:r w:rsidRPr="00A74BF5">
              <w:rPr>
                <w:rFonts w:ascii="Arial Narrow" w:hAnsi="Arial Narrow"/>
                <w:bCs/>
                <w:vertAlign w:val="superscript"/>
              </w:rPr>
              <w:t>2</w:t>
            </w:r>
            <w:r w:rsidRPr="00A74BF5">
              <w:rPr>
                <w:rFonts w:ascii="Arial Narrow" w:hAnsi="Arial Narrow"/>
                <w:bCs/>
              </w:rPr>
              <w:t xml:space="preserve"> (</w:t>
            </w:r>
            <w:proofErr w:type="spellStart"/>
            <w:r w:rsidRPr="00A74BF5">
              <w:rPr>
                <w:rFonts w:ascii="Arial Narrow" w:hAnsi="Arial Narrow"/>
                <w:bCs/>
              </w:rPr>
              <w:t>Delpatch</w:t>
            </w:r>
            <w:proofErr w:type="spellEnd"/>
            <w:r w:rsidRPr="00A74BF5">
              <w:rPr>
                <w:rFonts w:ascii="Arial Narrow" w:hAnsi="Arial Narrow"/>
                <w:bCs/>
              </w:rPr>
              <w:t xml:space="preserve"> ou équivalent approuvé)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7AE3952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D9E8BC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FC26E81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1162E97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6F9A2312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ADBEC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forme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rectangulaire de la réparation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C03ADB3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2B7202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C1A998" w14:textId="77777777" w:rsidR="0030430E" w:rsidRPr="00A74BF5" w:rsidRDefault="0030430E" w:rsidP="009C4B92">
            <w:pPr>
              <w:spacing w:before="60" w:after="60"/>
              <w:jc w:val="center"/>
              <w:rPr>
                <w:rFonts w:ascii="MS Gothic" w:eastAsia="MS Gothic" w:hAnsi="MS Gothic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D93F13A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30430E" w:rsidRPr="00A74BF5" w14:paraId="07113C42" w14:textId="77777777" w:rsidTr="009C4B92">
        <w:trPr>
          <w:trHeight w:val="142"/>
          <w:jc w:val="center"/>
        </w:trPr>
        <w:tc>
          <w:tcPr>
            <w:tcW w:w="46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40640D" w14:textId="77777777" w:rsidR="0030430E" w:rsidRPr="00A74BF5" w:rsidRDefault="0030430E" w:rsidP="009C4B92">
            <w:pPr>
              <w:pStyle w:val="Paragraphedeliste"/>
              <w:numPr>
                <w:ilvl w:val="0"/>
                <w:numId w:val="11"/>
              </w:numPr>
              <w:spacing w:before="60" w:after="60"/>
              <w:ind w:left="284" w:hanging="284"/>
              <w:rPr>
                <w:rFonts w:ascii="Arial Narrow" w:hAnsi="Arial Narrow"/>
                <w:bCs/>
              </w:rPr>
            </w:pPr>
            <w:proofErr w:type="gramStart"/>
            <w:r w:rsidRPr="00A74BF5">
              <w:rPr>
                <w:rFonts w:ascii="Arial Narrow" w:hAnsi="Arial Narrow"/>
                <w:bCs/>
              </w:rPr>
              <w:t>réparation</w:t>
            </w:r>
            <w:proofErr w:type="gramEnd"/>
            <w:r w:rsidRPr="00A74BF5">
              <w:rPr>
                <w:rFonts w:ascii="Arial Narrow" w:hAnsi="Arial Narrow"/>
                <w:bCs/>
              </w:rPr>
              <w:t xml:space="preserve"> de la dalle construite &gt; 0,25 m</w:t>
            </w:r>
            <w:r w:rsidRPr="00A74BF5">
              <w:rPr>
                <w:rFonts w:ascii="Arial Narrow" w:hAnsi="Arial Narrow"/>
                <w:bCs/>
                <w:vertAlign w:val="superscript"/>
              </w:rPr>
              <w:t>2</w:t>
            </w:r>
            <w:r w:rsidRPr="00A74BF5">
              <w:rPr>
                <w:rFonts w:ascii="Arial Narrow" w:hAnsi="Arial Narrow"/>
                <w:bCs/>
              </w:rPr>
              <w:t xml:space="preserve"> interdite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4AF999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56493B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456CA" w14:textId="77777777" w:rsidR="0030430E" w:rsidRPr="00A74BF5" w:rsidRDefault="0030430E" w:rsidP="009C4B92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A74BF5">
              <w:rPr>
                <w:rFonts w:ascii="MS Gothic" w:eastAsia="MS Gothic" w:hAnsi="MS Gothic" w:cs="Arial" w:hint="eastAsia"/>
                <w:b/>
                <w:bCs/>
              </w:rPr>
              <w:t>☐</w:t>
            </w:r>
          </w:p>
        </w:tc>
        <w:tc>
          <w:tcPr>
            <w:tcW w:w="45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2750C" w14:textId="77777777" w:rsidR="0030430E" w:rsidRPr="00A74BF5" w:rsidRDefault="0030430E" w:rsidP="009C4B92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423720C7" w14:textId="79E0ED43" w:rsidR="002424C0" w:rsidRDefault="002424C0" w:rsidP="00012C06">
      <w:pPr>
        <w:spacing w:after="0" w:line="240" w:lineRule="auto"/>
      </w:pPr>
    </w:p>
    <w:sectPr w:rsidR="002424C0" w:rsidSect="003D6B2B">
      <w:headerReference w:type="default" r:id="rId14"/>
      <w:pgSz w:w="12240" w:h="15840" w:code="1"/>
      <w:pgMar w:top="1241" w:right="72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7CFF6" w14:textId="77777777" w:rsidR="00A74BF5" w:rsidRDefault="00A74BF5" w:rsidP="005C59D4">
      <w:pPr>
        <w:spacing w:after="0" w:line="240" w:lineRule="auto"/>
      </w:pPr>
      <w:r>
        <w:separator/>
      </w:r>
    </w:p>
  </w:endnote>
  <w:endnote w:type="continuationSeparator" w:id="0">
    <w:p w14:paraId="48AC979C" w14:textId="77777777" w:rsidR="00A74BF5" w:rsidRDefault="00A74BF5" w:rsidP="005C5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187174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1B5A418" w14:textId="77777777" w:rsidR="00A74BF5" w:rsidRDefault="00A74BF5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64FEFE" w14:textId="77777777" w:rsidR="00A74BF5" w:rsidRDefault="00A74B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80526" w14:textId="77777777" w:rsidR="00A74BF5" w:rsidRDefault="00A74BF5" w:rsidP="005C59D4">
      <w:pPr>
        <w:spacing w:after="0" w:line="240" w:lineRule="auto"/>
      </w:pPr>
      <w:r>
        <w:separator/>
      </w:r>
    </w:p>
  </w:footnote>
  <w:footnote w:type="continuationSeparator" w:id="0">
    <w:p w14:paraId="1E35A3A5" w14:textId="77777777" w:rsidR="00A74BF5" w:rsidRDefault="00A74BF5" w:rsidP="005C5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6EDED" w14:textId="77777777" w:rsidR="00A74BF5" w:rsidRDefault="00A74BF5" w:rsidP="00BE19B5">
    <w:pPr>
      <w:spacing w:after="0" w:line="240" w:lineRule="auto"/>
      <w:jc w:val="center"/>
      <w:rPr>
        <w:rFonts w:ascii="Arial Narrow" w:hAnsi="Arial Narrow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F21AD" w14:textId="3C57557F" w:rsidR="00E24941" w:rsidRDefault="0054242B" w:rsidP="00E24941">
    <w:pPr>
      <w:spacing w:after="120" w:line="240" w:lineRule="auto"/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 xml:space="preserve">Annexe 21 - </w:t>
    </w:r>
    <w:r w:rsidR="00E24941">
      <w:rPr>
        <w:rFonts w:cs="Arial"/>
        <w:b/>
        <w:sz w:val="28"/>
        <w:szCs w:val="28"/>
      </w:rPr>
      <w:t>Principales vérifications</w:t>
    </w:r>
  </w:p>
  <w:p w14:paraId="2E3DA378" w14:textId="474BAA23" w:rsidR="00A74BF5" w:rsidRPr="00BD7DEF" w:rsidRDefault="00E24941" w:rsidP="00E24941">
    <w:pPr>
      <w:pStyle w:val="En-tte"/>
      <w:jc w:val="center"/>
    </w:pPr>
    <w:r w:rsidRPr="00E76519">
      <w:rPr>
        <w:rFonts w:cs="Arial"/>
        <w:szCs w:val="24"/>
      </w:rPr>
      <w:t>(</w:t>
    </w:r>
    <w:proofErr w:type="gramStart"/>
    <w:r w:rsidRPr="00E76519">
      <w:rPr>
        <w:rFonts w:cs="Arial"/>
        <w:szCs w:val="24"/>
      </w:rPr>
      <w:t>aide</w:t>
    </w:r>
    <w:proofErr w:type="gramEnd"/>
    <w:r w:rsidRPr="00E76519">
      <w:rPr>
        <w:rFonts w:cs="Arial"/>
        <w:szCs w:val="24"/>
      </w:rPr>
      <w:t xml:space="preserve"> – mémoire)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F727B"/>
    <w:multiLevelType w:val="hybridMultilevel"/>
    <w:tmpl w:val="61DE0E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61F1"/>
    <w:multiLevelType w:val="hybridMultilevel"/>
    <w:tmpl w:val="48D47F92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7004"/>
    <w:multiLevelType w:val="hybridMultilevel"/>
    <w:tmpl w:val="1568A446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25FE"/>
    <w:multiLevelType w:val="hybridMultilevel"/>
    <w:tmpl w:val="5762C108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8126C"/>
    <w:multiLevelType w:val="hybridMultilevel"/>
    <w:tmpl w:val="75CA3C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B19D7"/>
    <w:multiLevelType w:val="hybridMultilevel"/>
    <w:tmpl w:val="26DAD1DC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168F1"/>
    <w:multiLevelType w:val="hybridMultilevel"/>
    <w:tmpl w:val="EDD81FD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F055D"/>
    <w:multiLevelType w:val="hybridMultilevel"/>
    <w:tmpl w:val="E4669B0C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7825"/>
    <w:multiLevelType w:val="hybridMultilevel"/>
    <w:tmpl w:val="05D2B1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D0AB9"/>
    <w:multiLevelType w:val="hybridMultilevel"/>
    <w:tmpl w:val="160046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93B61"/>
    <w:multiLevelType w:val="hybridMultilevel"/>
    <w:tmpl w:val="55C25EF4"/>
    <w:lvl w:ilvl="0" w:tplc="4CB082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741A5"/>
    <w:multiLevelType w:val="hybridMultilevel"/>
    <w:tmpl w:val="458C7FC4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C1896"/>
    <w:multiLevelType w:val="hybridMultilevel"/>
    <w:tmpl w:val="CCFEE6C8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1E5ED0"/>
    <w:multiLevelType w:val="multilevel"/>
    <w:tmpl w:val="0C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E636014"/>
    <w:multiLevelType w:val="hybridMultilevel"/>
    <w:tmpl w:val="44140D04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5E3615"/>
    <w:multiLevelType w:val="hybridMultilevel"/>
    <w:tmpl w:val="ECD8CE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A7E4A"/>
    <w:multiLevelType w:val="hybridMultilevel"/>
    <w:tmpl w:val="5CDA7CDA"/>
    <w:lvl w:ilvl="0" w:tplc="723CE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61448"/>
    <w:multiLevelType w:val="hybridMultilevel"/>
    <w:tmpl w:val="6F80DFE0"/>
    <w:lvl w:ilvl="0" w:tplc="4CB082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12DF0"/>
    <w:multiLevelType w:val="hybridMultilevel"/>
    <w:tmpl w:val="3C3A06C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E50B4"/>
    <w:multiLevelType w:val="hybridMultilevel"/>
    <w:tmpl w:val="8B64E4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16"/>
  </w:num>
  <w:num w:numId="5">
    <w:abstractNumId w:val="7"/>
  </w:num>
  <w:num w:numId="6">
    <w:abstractNumId w:val="5"/>
  </w:num>
  <w:num w:numId="7">
    <w:abstractNumId w:val="2"/>
  </w:num>
  <w:num w:numId="8">
    <w:abstractNumId w:val="12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19"/>
  </w:num>
  <w:num w:numId="14">
    <w:abstractNumId w:val="10"/>
  </w:num>
  <w:num w:numId="15">
    <w:abstractNumId w:val="17"/>
  </w:num>
  <w:num w:numId="16">
    <w:abstractNumId w:val="9"/>
  </w:num>
  <w:num w:numId="17">
    <w:abstractNumId w:val="6"/>
  </w:num>
  <w:num w:numId="18">
    <w:abstractNumId w:val="15"/>
  </w:num>
  <w:num w:numId="19">
    <w:abstractNumId w:val="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5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06C"/>
    <w:rsid w:val="00000B7B"/>
    <w:rsid w:val="00012C06"/>
    <w:rsid w:val="00013913"/>
    <w:rsid w:val="00016870"/>
    <w:rsid w:val="000203DC"/>
    <w:rsid w:val="0002238C"/>
    <w:rsid w:val="000264E0"/>
    <w:rsid w:val="0003528E"/>
    <w:rsid w:val="0003546F"/>
    <w:rsid w:val="000431F2"/>
    <w:rsid w:val="000469E9"/>
    <w:rsid w:val="00050597"/>
    <w:rsid w:val="00051652"/>
    <w:rsid w:val="00051B3A"/>
    <w:rsid w:val="00061035"/>
    <w:rsid w:val="00065583"/>
    <w:rsid w:val="00071F2E"/>
    <w:rsid w:val="000751C6"/>
    <w:rsid w:val="000771B2"/>
    <w:rsid w:val="0008181F"/>
    <w:rsid w:val="0008318F"/>
    <w:rsid w:val="00087931"/>
    <w:rsid w:val="00092F48"/>
    <w:rsid w:val="00095894"/>
    <w:rsid w:val="00096C16"/>
    <w:rsid w:val="000A0967"/>
    <w:rsid w:val="000A24C8"/>
    <w:rsid w:val="000B1292"/>
    <w:rsid w:val="000B4100"/>
    <w:rsid w:val="000C0352"/>
    <w:rsid w:val="000C2C54"/>
    <w:rsid w:val="000C3EB8"/>
    <w:rsid w:val="000C5F55"/>
    <w:rsid w:val="000D151E"/>
    <w:rsid w:val="000D753F"/>
    <w:rsid w:val="000E2687"/>
    <w:rsid w:val="000E3CCA"/>
    <w:rsid w:val="000E576B"/>
    <w:rsid w:val="000E5C86"/>
    <w:rsid w:val="000F7A8E"/>
    <w:rsid w:val="001011C9"/>
    <w:rsid w:val="00101798"/>
    <w:rsid w:val="00101C1D"/>
    <w:rsid w:val="00104B27"/>
    <w:rsid w:val="00105794"/>
    <w:rsid w:val="00110C73"/>
    <w:rsid w:val="00111194"/>
    <w:rsid w:val="001123D8"/>
    <w:rsid w:val="001203BD"/>
    <w:rsid w:val="00122A23"/>
    <w:rsid w:val="00122AF1"/>
    <w:rsid w:val="001243D4"/>
    <w:rsid w:val="00127782"/>
    <w:rsid w:val="00133227"/>
    <w:rsid w:val="001334E8"/>
    <w:rsid w:val="00150D59"/>
    <w:rsid w:val="00156AB3"/>
    <w:rsid w:val="00157C29"/>
    <w:rsid w:val="00162905"/>
    <w:rsid w:val="001662A3"/>
    <w:rsid w:val="0016698B"/>
    <w:rsid w:val="00184405"/>
    <w:rsid w:val="001937AF"/>
    <w:rsid w:val="001A1BC2"/>
    <w:rsid w:val="001A1C13"/>
    <w:rsid w:val="001A2221"/>
    <w:rsid w:val="001A2740"/>
    <w:rsid w:val="001B1422"/>
    <w:rsid w:val="001B6A15"/>
    <w:rsid w:val="001C5240"/>
    <w:rsid w:val="001C6969"/>
    <w:rsid w:val="001D72E6"/>
    <w:rsid w:val="001E154A"/>
    <w:rsid w:val="001E27B9"/>
    <w:rsid w:val="001E38EF"/>
    <w:rsid w:val="001E4B6B"/>
    <w:rsid w:val="001F102A"/>
    <w:rsid w:val="001F1150"/>
    <w:rsid w:val="00201CD9"/>
    <w:rsid w:val="002126DF"/>
    <w:rsid w:val="002152C3"/>
    <w:rsid w:val="0022376D"/>
    <w:rsid w:val="00231CD2"/>
    <w:rsid w:val="002326B8"/>
    <w:rsid w:val="00233048"/>
    <w:rsid w:val="00234B2B"/>
    <w:rsid w:val="002351E1"/>
    <w:rsid w:val="002424C0"/>
    <w:rsid w:val="002446E0"/>
    <w:rsid w:val="00245DDB"/>
    <w:rsid w:val="0024626A"/>
    <w:rsid w:val="002515D3"/>
    <w:rsid w:val="002526BD"/>
    <w:rsid w:val="002528DD"/>
    <w:rsid w:val="002539E8"/>
    <w:rsid w:val="00261197"/>
    <w:rsid w:val="00261704"/>
    <w:rsid w:val="002628BD"/>
    <w:rsid w:val="0026785B"/>
    <w:rsid w:val="00272684"/>
    <w:rsid w:val="00275AF0"/>
    <w:rsid w:val="00277ECF"/>
    <w:rsid w:val="00293F28"/>
    <w:rsid w:val="002A2318"/>
    <w:rsid w:val="002A4715"/>
    <w:rsid w:val="002A47E7"/>
    <w:rsid w:val="002A5B32"/>
    <w:rsid w:val="002B169A"/>
    <w:rsid w:val="002B2047"/>
    <w:rsid w:val="002B4A87"/>
    <w:rsid w:val="002C3291"/>
    <w:rsid w:val="002D658F"/>
    <w:rsid w:val="002E26ED"/>
    <w:rsid w:val="002E464B"/>
    <w:rsid w:val="002E5FDC"/>
    <w:rsid w:val="002E645E"/>
    <w:rsid w:val="002F3EAC"/>
    <w:rsid w:val="002F3EFD"/>
    <w:rsid w:val="0030214E"/>
    <w:rsid w:val="0030373B"/>
    <w:rsid w:val="0030430E"/>
    <w:rsid w:val="00305BAE"/>
    <w:rsid w:val="00307F1B"/>
    <w:rsid w:val="00314045"/>
    <w:rsid w:val="003168A0"/>
    <w:rsid w:val="0033281E"/>
    <w:rsid w:val="0033503C"/>
    <w:rsid w:val="00336654"/>
    <w:rsid w:val="003426F4"/>
    <w:rsid w:val="003441A6"/>
    <w:rsid w:val="00346661"/>
    <w:rsid w:val="00350805"/>
    <w:rsid w:val="00352D48"/>
    <w:rsid w:val="0036043E"/>
    <w:rsid w:val="00363852"/>
    <w:rsid w:val="00366FDB"/>
    <w:rsid w:val="003823C8"/>
    <w:rsid w:val="003978C4"/>
    <w:rsid w:val="003A2D5E"/>
    <w:rsid w:val="003A41F6"/>
    <w:rsid w:val="003A694F"/>
    <w:rsid w:val="003B3E18"/>
    <w:rsid w:val="003B3F6C"/>
    <w:rsid w:val="003B5E78"/>
    <w:rsid w:val="003B5FE6"/>
    <w:rsid w:val="003B7FF8"/>
    <w:rsid w:val="003C2BB5"/>
    <w:rsid w:val="003C46CA"/>
    <w:rsid w:val="003C7162"/>
    <w:rsid w:val="003D0B09"/>
    <w:rsid w:val="003D1368"/>
    <w:rsid w:val="003D2CD1"/>
    <w:rsid w:val="003D6B2B"/>
    <w:rsid w:val="003E217F"/>
    <w:rsid w:val="003E680A"/>
    <w:rsid w:val="003F0D19"/>
    <w:rsid w:val="003F7695"/>
    <w:rsid w:val="0040000B"/>
    <w:rsid w:val="00404E68"/>
    <w:rsid w:val="00405559"/>
    <w:rsid w:val="0040719C"/>
    <w:rsid w:val="0041642E"/>
    <w:rsid w:val="004240F3"/>
    <w:rsid w:val="00433603"/>
    <w:rsid w:val="00433620"/>
    <w:rsid w:val="00433CAF"/>
    <w:rsid w:val="00440FFF"/>
    <w:rsid w:val="00441438"/>
    <w:rsid w:val="0046164F"/>
    <w:rsid w:val="00465384"/>
    <w:rsid w:val="0046729C"/>
    <w:rsid w:val="00472CEF"/>
    <w:rsid w:val="00472FB5"/>
    <w:rsid w:val="00474B53"/>
    <w:rsid w:val="00475073"/>
    <w:rsid w:val="0047618A"/>
    <w:rsid w:val="0048321F"/>
    <w:rsid w:val="004938F8"/>
    <w:rsid w:val="0049411D"/>
    <w:rsid w:val="00496895"/>
    <w:rsid w:val="004A27E5"/>
    <w:rsid w:val="004A5DEA"/>
    <w:rsid w:val="004B3A12"/>
    <w:rsid w:val="004B67D9"/>
    <w:rsid w:val="004B7EF3"/>
    <w:rsid w:val="004C3219"/>
    <w:rsid w:val="004C7A8D"/>
    <w:rsid w:val="004D2665"/>
    <w:rsid w:val="004D30FB"/>
    <w:rsid w:val="004D6331"/>
    <w:rsid w:val="004E15B0"/>
    <w:rsid w:val="004E1F4C"/>
    <w:rsid w:val="004E21D9"/>
    <w:rsid w:val="004E368B"/>
    <w:rsid w:val="004E7604"/>
    <w:rsid w:val="004F5DDB"/>
    <w:rsid w:val="00504B4E"/>
    <w:rsid w:val="00510382"/>
    <w:rsid w:val="005179F3"/>
    <w:rsid w:val="00517EB3"/>
    <w:rsid w:val="00521955"/>
    <w:rsid w:val="00540743"/>
    <w:rsid w:val="0054242B"/>
    <w:rsid w:val="005470C5"/>
    <w:rsid w:val="005513BC"/>
    <w:rsid w:val="00563DD9"/>
    <w:rsid w:val="005648EA"/>
    <w:rsid w:val="005735C2"/>
    <w:rsid w:val="00575E48"/>
    <w:rsid w:val="00577681"/>
    <w:rsid w:val="0058554F"/>
    <w:rsid w:val="005A4E72"/>
    <w:rsid w:val="005B1263"/>
    <w:rsid w:val="005B60DA"/>
    <w:rsid w:val="005C35CE"/>
    <w:rsid w:val="005C3E08"/>
    <w:rsid w:val="005C4BB8"/>
    <w:rsid w:val="005C59D4"/>
    <w:rsid w:val="005D164F"/>
    <w:rsid w:val="005D484B"/>
    <w:rsid w:val="005D6D87"/>
    <w:rsid w:val="005E5668"/>
    <w:rsid w:val="005F0473"/>
    <w:rsid w:val="005F059E"/>
    <w:rsid w:val="005F53B8"/>
    <w:rsid w:val="005F61F2"/>
    <w:rsid w:val="00606250"/>
    <w:rsid w:val="00606665"/>
    <w:rsid w:val="00613C4D"/>
    <w:rsid w:val="006143A9"/>
    <w:rsid w:val="00614ABC"/>
    <w:rsid w:val="00623AC1"/>
    <w:rsid w:val="00624141"/>
    <w:rsid w:val="00635C24"/>
    <w:rsid w:val="00653DF0"/>
    <w:rsid w:val="00655492"/>
    <w:rsid w:val="00662263"/>
    <w:rsid w:val="00662D11"/>
    <w:rsid w:val="0066624A"/>
    <w:rsid w:val="006675EF"/>
    <w:rsid w:val="00674B12"/>
    <w:rsid w:val="006753E4"/>
    <w:rsid w:val="00677C97"/>
    <w:rsid w:val="0068078B"/>
    <w:rsid w:val="006815C7"/>
    <w:rsid w:val="006842D3"/>
    <w:rsid w:val="00684F97"/>
    <w:rsid w:val="00690CDE"/>
    <w:rsid w:val="006916E1"/>
    <w:rsid w:val="0069481F"/>
    <w:rsid w:val="006956B3"/>
    <w:rsid w:val="006A3F61"/>
    <w:rsid w:val="006A6330"/>
    <w:rsid w:val="006B0821"/>
    <w:rsid w:val="006B51FC"/>
    <w:rsid w:val="006C372E"/>
    <w:rsid w:val="006C51A6"/>
    <w:rsid w:val="006C616C"/>
    <w:rsid w:val="006D2FD9"/>
    <w:rsid w:val="006D6C4D"/>
    <w:rsid w:val="006E24E7"/>
    <w:rsid w:val="006E6DFE"/>
    <w:rsid w:val="006F02E5"/>
    <w:rsid w:val="00701B78"/>
    <w:rsid w:val="00706B02"/>
    <w:rsid w:val="00713FA5"/>
    <w:rsid w:val="00717378"/>
    <w:rsid w:val="00717C69"/>
    <w:rsid w:val="007337F3"/>
    <w:rsid w:val="00740690"/>
    <w:rsid w:val="007417BC"/>
    <w:rsid w:val="007504DD"/>
    <w:rsid w:val="00753AB2"/>
    <w:rsid w:val="007541D5"/>
    <w:rsid w:val="00764002"/>
    <w:rsid w:val="007655F8"/>
    <w:rsid w:val="007665CD"/>
    <w:rsid w:val="00772BCD"/>
    <w:rsid w:val="00773D90"/>
    <w:rsid w:val="00775C4B"/>
    <w:rsid w:val="00791509"/>
    <w:rsid w:val="00795681"/>
    <w:rsid w:val="00796068"/>
    <w:rsid w:val="007A1D2D"/>
    <w:rsid w:val="007A5B5B"/>
    <w:rsid w:val="007B178E"/>
    <w:rsid w:val="007C28D0"/>
    <w:rsid w:val="007C5682"/>
    <w:rsid w:val="007C56A4"/>
    <w:rsid w:val="007E03F8"/>
    <w:rsid w:val="007E335D"/>
    <w:rsid w:val="007E6CFB"/>
    <w:rsid w:val="007F4DD9"/>
    <w:rsid w:val="007F5ECA"/>
    <w:rsid w:val="00802C2A"/>
    <w:rsid w:val="00811C01"/>
    <w:rsid w:val="00813CCA"/>
    <w:rsid w:val="00822168"/>
    <w:rsid w:val="00824E00"/>
    <w:rsid w:val="0082614D"/>
    <w:rsid w:val="00826B81"/>
    <w:rsid w:val="00832B8E"/>
    <w:rsid w:val="00833A52"/>
    <w:rsid w:val="00834D58"/>
    <w:rsid w:val="00844ADB"/>
    <w:rsid w:val="00850487"/>
    <w:rsid w:val="0085464B"/>
    <w:rsid w:val="0086028E"/>
    <w:rsid w:val="008617FF"/>
    <w:rsid w:val="008645B5"/>
    <w:rsid w:val="0086479F"/>
    <w:rsid w:val="00865316"/>
    <w:rsid w:val="00867819"/>
    <w:rsid w:val="00876A15"/>
    <w:rsid w:val="00884824"/>
    <w:rsid w:val="00886665"/>
    <w:rsid w:val="008952DB"/>
    <w:rsid w:val="008A3794"/>
    <w:rsid w:val="008A4EF5"/>
    <w:rsid w:val="008B0EEB"/>
    <w:rsid w:val="008B6428"/>
    <w:rsid w:val="008C0373"/>
    <w:rsid w:val="008C34D7"/>
    <w:rsid w:val="008C39B8"/>
    <w:rsid w:val="008C43DF"/>
    <w:rsid w:val="008D1581"/>
    <w:rsid w:val="008D577C"/>
    <w:rsid w:val="008D6662"/>
    <w:rsid w:val="008F07E7"/>
    <w:rsid w:val="008F13B6"/>
    <w:rsid w:val="008F2C80"/>
    <w:rsid w:val="008F4976"/>
    <w:rsid w:val="00906635"/>
    <w:rsid w:val="00911534"/>
    <w:rsid w:val="009159AE"/>
    <w:rsid w:val="0091641F"/>
    <w:rsid w:val="00920081"/>
    <w:rsid w:val="00921710"/>
    <w:rsid w:val="00923576"/>
    <w:rsid w:val="0092506C"/>
    <w:rsid w:val="00925889"/>
    <w:rsid w:val="00936EEE"/>
    <w:rsid w:val="009425CA"/>
    <w:rsid w:val="0095396D"/>
    <w:rsid w:val="009550B6"/>
    <w:rsid w:val="009569A1"/>
    <w:rsid w:val="009601F9"/>
    <w:rsid w:val="00962FCC"/>
    <w:rsid w:val="009720C3"/>
    <w:rsid w:val="009742DE"/>
    <w:rsid w:val="00976095"/>
    <w:rsid w:val="00977039"/>
    <w:rsid w:val="00982FCE"/>
    <w:rsid w:val="00990404"/>
    <w:rsid w:val="00991BBF"/>
    <w:rsid w:val="009949D7"/>
    <w:rsid w:val="009A0803"/>
    <w:rsid w:val="009A3A3D"/>
    <w:rsid w:val="009A3ECD"/>
    <w:rsid w:val="009A4A75"/>
    <w:rsid w:val="009A5786"/>
    <w:rsid w:val="009A6B92"/>
    <w:rsid w:val="009C3445"/>
    <w:rsid w:val="009D2B51"/>
    <w:rsid w:val="009D600A"/>
    <w:rsid w:val="009D740D"/>
    <w:rsid w:val="009E6D11"/>
    <w:rsid w:val="009F33B2"/>
    <w:rsid w:val="009F3541"/>
    <w:rsid w:val="009F7BBD"/>
    <w:rsid w:val="00A03F54"/>
    <w:rsid w:val="00A14441"/>
    <w:rsid w:val="00A168F5"/>
    <w:rsid w:val="00A212D3"/>
    <w:rsid w:val="00A2249E"/>
    <w:rsid w:val="00A22A0B"/>
    <w:rsid w:val="00A22D32"/>
    <w:rsid w:val="00A24806"/>
    <w:rsid w:val="00A271A8"/>
    <w:rsid w:val="00A34945"/>
    <w:rsid w:val="00A34AAE"/>
    <w:rsid w:val="00A41B3C"/>
    <w:rsid w:val="00A45E66"/>
    <w:rsid w:val="00A45EAB"/>
    <w:rsid w:val="00A512C3"/>
    <w:rsid w:val="00A5269F"/>
    <w:rsid w:val="00A55794"/>
    <w:rsid w:val="00A6462E"/>
    <w:rsid w:val="00A654FE"/>
    <w:rsid w:val="00A67E90"/>
    <w:rsid w:val="00A709C1"/>
    <w:rsid w:val="00A70BD2"/>
    <w:rsid w:val="00A74BF5"/>
    <w:rsid w:val="00A75079"/>
    <w:rsid w:val="00A85207"/>
    <w:rsid w:val="00A858E6"/>
    <w:rsid w:val="00A918F9"/>
    <w:rsid w:val="00A94E77"/>
    <w:rsid w:val="00A964AE"/>
    <w:rsid w:val="00AB36EA"/>
    <w:rsid w:val="00AB53E0"/>
    <w:rsid w:val="00AD6C05"/>
    <w:rsid w:val="00AE21E4"/>
    <w:rsid w:val="00AE40CB"/>
    <w:rsid w:val="00AE5263"/>
    <w:rsid w:val="00AF03DD"/>
    <w:rsid w:val="00AF0BE1"/>
    <w:rsid w:val="00B005B5"/>
    <w:rsid w:val="00B2066B"/>
    <w:rsid w:val="00B311B7"/>
    <w:rsid w:val="00B328FA"/>
    <w:rsid w:val="00B357EB"/>
    <w:rsid w:val="00B503E5"/>
    <w:rsid w:val="00B565A3"/>
    <w:rsid w:val="00B6204A"/>
    <w:rsid w:val="00B65DF3"/>
    <w:rsid w:val="00B73A42"/>
    <w:rsid w:val="00B8299F"/>
    <w:rsid w:val="00B90F52"/>
    <w:rsid w:val="00BA2EC4"/>
    <w:rsid w:val="00BA71C9"/>
    <w:rsid w:val="00BB746A"/>
    <w:rsid w:val="00BC7DF2"/>
    <w:rsid w:val="00BD1922"/>
    <w:rsid w:val="00BD7DEF"/>
    <w:rsid w:val="00BE19B5"/>
    <w:rsid w:val="00BE3A79"/>
    <w:rsid w:val="00BE511B"/>
    <w:rsid w:val="00BE62F7"/>
    <w:rsid w:val="00BF134B"/>
    <w:rsid w:val="00BF5244"/>
    <w:rsid w:val="00C0148F"/>
    <w:rsid w:val="00C03000"/>
    <w:rsid w:val="00C03E78"/>
    <w:rsid w:val="00C0755C"/>
    <w:rsid w:val="00C13168"/>
    <w:rsid w:val="00C13BE0"/>
    <w:rsid w:val="00C22B98"/>
    <w:rsid w:val="00C244BA"/>
    <w:rsid w:val="00C25C66"/>
    <w:rsid w:val="00C32FBA"/>
    <w:rsid w:val="00C33A08"/>
    <w:rsid w:val="00C34298"/>
    <w:rsid w:val="00C3595D"/>
    <w:rsid w:val="00C4101F"/>
    <w:rsid w:val="00C41F9F"/>
    <w:rsid w:val="00C4398D"/>
    <w:rsid w:val="00C456EF"/>
    <w:rsid w:val="00C45D9F"/>
    <w:rsid w:val="00C45EFE"/>
    <w:rsid w:val="00C51177"/>
    <w:rsid w:val="00C5682A"/>
    <w:rsid w:val="00C76BA5"/>
    <w:rsid w:val="00C90C4C"/>
    <w:rsid w:val="00C92A87"/>
    <w:rsid w:val="00C9423C"/>
    <w:rsid w:val="00C96FC5"/>
    <w:rsid w:val="00C97D85"/>
    <w:rsid w:val="00CA0D90"/>
    <w:rsid w:val="00CA1ADA"/>
    <w:rsid w:val="00CA2503"/>
    <w:rsid w:val="00CA275C"/>
    <w:rsid w:val="00CA4D07"/>
    <w:rsid w:val="00CA4D34"/>
    <w:rsid w:val="00CB2649"/>
    <w:rsid w:val="00CB3F2C"/>
    <w:rsid w:val="00CB3FC2"/>
    <w:rsid w:val="00CB6B25"/>
    <w:rsid w:val="00CC1647"/>
    <w:rsid w:val="00CC4462"/>
    <w:rsid w:val="00CD311C"/>
    <w:rsid w:val="00CD5E09"/>
    <w:rsid w:val="00CF6709"/>
    <w:rsid w:val="00D059A5"/>
    <w:rsid w:val="00D15E31"/>
    <w:rsid w:val="00D1696C"/>
    <w:rsid w:val="00D200A0"/>
    <w:rsid w:val="00D24992"/>
    <w:rsid w:val="00D27C90"/>
    <w:rsid w:val="00D27F08"/>
    <w:rsid w:val="00D3409E"/>
    <w:rsid w:val="00D4533B"/>
    <w:rsid w:val="00D45FBA"/>
    <w:rsid w:val="00D5003B"/>
    <w:rsid w:val="00D509A3"/>
    <w:rsid w:val="00D565F5"/>
    <w:rsid w:val="00D62342"/>
    <w:rsid w:val="00D662B6"/>
    <w:rsid w:val="00D7656F"/>
    <w:rsid w:val="00D7705E"/>
    <w:rsid w:val="00D81D9D"/>
    <w:rsid w:val="00D84CC7"/>
    <w:rsid w:val="00D85BE2"/>
    <w:rsid w:val="00D92B3E"/>
    <w:rsid w:val="00D949C5"/>
    <w:rsid w:val="00D951F3"/>
    <w:rsid w:val="00D963A4"/>
    <w:rsid w:val="00DA76AC"/>
    <w:rsid w:val="00DB7639"/>
    <w:rsid w:val="00DC500F"/>
    <w:rsid w:val="00DC698D"/>
    <w:rsid w:val="00DD5A70"/>
    <w:rsid w:val="00DD638D"/>
    <w:rsid w:val="00DF3ACC"/>
    <w:rsid w:val="00DF7FE6"/>
    <w:rsid w:val="00E02FFB"/>
    <w:rsid w:val="00E05378"/>
    <w:rsid w:val="00E06948"/>
    <w:rsid w:val="00E13E87"/>
    <w:rsid w:val="00E17921"/>
    <w:rsid w:val="00E210EC"/>
    <w:rsid w:val="00E24782"/>
    <w:rsid w:val="00E24941"/>
    <w:rsid w:val="00E249B1"/>
    <w:rsid w:val="00E26005"/>
    <w:rsid w:val="00E2797A"/>
    <w:rsid w:val="00E3495B"/>
    <w:rsid w:val="00E4276D"/>
    <w:rsid w:val="00E42B62"/>
    <w:rsid w:val="00E44692"/>
    <w:rsid w:val="00E47244"/>
    <w:rsid w:val="00E52204"/>
    <w:rsid w:val="00E6183F"/>
    <w:rsid w:val="00E65675"/>
    <w:rsid w:val="00E659F1"/>
    <w:rsid w:val="00E66655"/>
    <w:rsid w:val="00E675A9"/>
    <w:rsid w:val="00E7570D"/>
    <w:rsid w:val="00E817EF"/>
    <w:rsid w:val="00E93705"/>
    <w:rsid w:val="00E9594F"/>
    <w:rsid w:val="00E95CA5"/>
    <w:rsid w:val="00E95DCF"/>
    <w:rsid w:val="00EB008A"/>
    <w:rsid w:val="00EB10D1"/>
    <w:rsid w:val="00EB170B"/>
    <w:rsid w:val="00EB5CB1"/>
    <w:rsid w:val="00EB752E"/>
    <w:rsid w:val="00ED1113"/>
    <w:rsid w:val="00EE43FC"/>
    <w:rsid w:val="00EE6A8F"/>
    <w:rsid w:val="00EF45B8"/>
    <w:rsid w:val="00F06C33"/>
    <w:rsid w:val="00F1007E"/>
    <w:rsid w:val="00F120E1"/>
    <w:rsid w:val="00F1276F"/>
    <w:rsid w:val="00F24772"/>
    <w:rsid w:val="00F24E06"/>
    <w:rsid w:val="00F252B0"/>
    <w:rsid w:val="00F31107"/>
    <w:rsid w:val="00F4098C"/>
    <w:rsid w:val="00F4100E"/>
    <w:rsid w:val="00F41BB1"/>
    <w:rsid w:val="00F42DAD"/>
    <w:rsid w:val="00F45A01"/>
    <w:rsid w:val="00F6576B"/>
    <w:rsid w:val="00F71464"/>
    <w:rsid w:val="00F72E77"/>
    <w:rsid w:val="00F73B9D"/>
    <w:rsid w:val="00F77381"/>
    <w:rsid w:val="00F816D4"/>
    <w:rsid w:val="00F83320"/>
    <w:rsid w:val="00F92B2C"/>
    <w:rsid w:val="00FA0012"/>
    <w:rsid w:val="00FA3121"/>
    <w:rsid w:val="00FA318D"/>
    <w:rsid w:val="00FA3CB3"/>
    <w:rsid w:val="00FB0492"/>
    <w:rsid w:val="00FB1700"/>
    <w:rsid w:val="00FB3B89"/>
    <w:rsid w:val="00FB4939"/>
    <w:rsid w:val="00FD0AF8"/>
    <w:rsid w:val="00FD37E6"/>
    <w:rsid w:val="00FD4F24"/>
    <w:rsid w:val="00FE003D"/>
    <w:rsid w:val="00FE207B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200C9C"/>
  <w15:docId w15:val="{2F605FF0-B058-4540-8645-058B405E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1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E24941"/>
    <w:pPr>
      <w:keepNext/>
      <w:keepLines/>
      <w:numPr>
        <w:numId w:val="20"/>
      </w:numPr>
      <w:spacing w:before="60" w:after="60" w:line="240" w:lineRule="auto"/>
      <w:jc w:val="center"/>
      <w:outlineLvl w:val="0"/>
    </w:pPr>
    <w:rPr>
      <w:rFonts w:ascii="Arial Narrow" w:eastAsiaTheme="majorEastAsia" w:hAnsi="Arial Narrow" w:cstheme="majorBidi"/>
      <w:b/>
      <w:sz w:val="2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24941"/>
    <w:pPr>
      <w:keepNext/>
      <w:keepLines/>
      <w:numPr>
        <w:ilvl w:val="1"/>
        <w:numId w:val="20"/>
      </w:numPr>
      <w:spacing w:after="0" w:line="240" w:lineRule="auto"/>
      <w:jc w:val="center"/>
      <w:outlineLvl w:val="1"/>
    </w:pPr>
    <w:rPr>
      <w:rFonts w:ascii="Arial Narrow" w:eastAsiaTheme="majorEastAsia" w:hAnsi="Arial Narrow" w:cstheme="majorBidi"/>
      <w:b/>
      <w:sz w:val="2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24941"/>
    <w:pPr>
      <w:keepNext/>
      <w:keepLines/>
      <w:numPr>
        <w:ilvl w:val="2"/>
        <w:numId w:val="20"/>
      </w:numPr>
      <w:spacing w:before="40" w:after="0"/>
      <w:jc w:val="right"/>
      <w:outlineLvl w:val="2"/>
    </w:pPr>
    <w:rPr>
      <w:rFonts w:ascii="Arial Narrow" w:eastAsiaTheme="majorEastAsia" w:hAnsi="Arial Narrow" w:cstheme="majorBidi"/>
      <w:b/>
      <w:sz w:val="2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24941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24941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24941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24941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24941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24941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2506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62A3"/>
    <w:p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C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37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59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9D4"/>
  </w:style>
  <w:style w:type="paragraph" w:styleId="Pieddepage">
    <w:name w:val="footer"/>
    <w:basedOn w:val="Normal"/>
    <w:link w:val="PieddepageCar"/>
    <w:uiPriority w:val="99"/>
    <w:unhideWhenUsed/>
    <w:rsid w:val="005C59D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9D4"/>
  </w:style>
  <w:style w:type="character" w:styleId="Marquedecommentaire">
    <w:name w:val="annotation reference"/>
    <w:basedOn w:val="Policepardfaut"/>
    <w:unhideWhenUsed/>
    <w:rsid w:val="00FA3121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FA31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FA31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31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3121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FB0492"/>
    <w:pPr>
      <w:spacing w:after="0" w:line="240" w:lineRule="auto"/>
    </w:pPr>
    <w:rPr>
      <w:rFonts w:ascii="Calibri" w:hAnsi="Calibri" w:cs="Calibri"/>
      <w:sz w:val="22"/>
      <w:lang w:eastAsia="fr-C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3168"/>
    <w:pPr>
      <w:numPr>
        <w:ilvl w:val="1"/>
      </w:numPr>
      <w:spacing w:before="60" w:after="60" w:line="240" w:lineRule="auto"/>
      <w:jc w:val="left"/>
    </w:pPr>
    <w:rPr>
      <w:rFonts w:ascii="Arial Narrow" w:eastAsiaTheme="minorEastAsia" w:hAnsi="Arial Narrow"/>
      <w:b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C13168"/>
    <w:rPr>
      <w:rFonts w:ascii="Arial Narrow" w:eastAsiaTheme="minorEastAsia" w:hAnsi="Arial Narrow"/>
      <w:b/>
      <w:sz w:val="20"/>
    </w:rPr>
  </w:style>
  <w:style w:type="character" w:customStyle="1" w:styleId="Titre1Car">
    <w:name w:val="Titre 1 Car"/>
    <w:basedOn w:val="Policepardfaut"/>
    <w:link w:val="Titre1"/>
    <w:uiPriority w:val="9"/>
    <w:rsid w:val="00E24941"/>
    <w:rPr>
      <w:rFonts w:ascii="Arial Narrow" w:eastAsiaTheme="majorEastAsia" w:hAnsi="Arial Narrow" w:cstheme="majorBidi"/>
      <w:b/>
      <w:sz w:val="2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E24941"/>
    <w:rPr>
      <w:rFonts w:ascii="Arial Narrow" w:eastAsiaTheme="majorEastAsia" w:hAnsi="Arial Narrow" w:cstheme="majorBidi"/>
      <w:b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24941"/>
    <w:rPr>
      <w:rFonts w:ascii="Arial Narrow" w:eastAsiaTheme="majorEastAsia" w:hAnsi="Arial Narrow" w:cstheme="majorBidi"/>
      <w:b/>
      <w:sz w:val="2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E2494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2494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249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249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249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249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AB3C7E4DE926AD4D9A227E8828F57238" ma:contentTypeVersion="13" ma:contentTypeDescription="" ma:contentTypeScope="" ma:versionID="78146affa4835305c738c9cb850979e3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89bacd556a7b006a66c460c4ae10c482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UMXZNRYXENRP-715238782-160</_dlc_DocId>
    <_dlc_DocIdUrl xmlns="35ae7812-1ab0-4572-a6c7-91e90b93790a">
      <Url>http://edition.simtq.mtq.min.intra/fr/entreprises-partenaires/entreprises-reseaux-routier/guides-formulaires/_layouts/15/DocIdRedir.aspx?ID=UMXZNRYXENRP-715238782-160</Url>
      <Description>UMXZNRYXENRP-715238782-160</Description>
    </_dlc_DocIdUrl>
    <SousSousTheme xmlns="35ae7812-1ab0-4572-a6c7-91e90b93790a"/>
    <DatePublication xmlns="35ae7812-1ab0-4572-a6c7-91e90b93790a">2021-05-03T04:00:00+00:00</DatePublication>
    <DescriptionDocument xmlns="35ae7812-1ab0-4572-a6c7-91e90b93790a">Tableau de principales vérifications-Surveillance de construction du revêtement de la chaussée en béton</DescriptionDocument>
    <ImageDocument xmlns="35ae7812-1ab0-4572-a6c7-91e90b93790a">
      <Url xsi:nil="true"/>
      <Description xsi:nil="true"/>
    </ImageDocument>
    <Theme xmlns="35ae7812-1ab0-4572-a6c7-91e90b93790a">
      <Value>10</Value>
    </Theme>
    <ExclureImportation xmlns="35ae7812-1ab0-4572-a6c7-91e90b93790a">false</ExclureImportation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SousTheme xmlns="35ae7812-1ab0-4572-a6c7-91e90b93790a">
      <Value>57</Value>
    </SousTheme>
    <TypeDocument xmlns="35ae7812-1ab0-4572-a6c7-91e90b93790a">83</TypeDocument>
    <RoutingRule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F3132D-5FE3-4D77-84DC-743813C329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C88DB-5BC9-4131-BE22-31306954ABDE}"/>
</file>

<file path=customXml/itemProps3.xml><?xml version="1.0" encoding="utf-8"?>
<ds:datastoreItem xmlns:ds="http://schemas.openxmlformats.org/officeDocument/2006/customXml" ds:itemID="{4133D256-B5EF-4833-8E7E-B550567199F3}">
  <ds:schemaRefs>
    <ds:schemaRef ds:uri="http://schemas.microsoft.com/office/2006/metadata/properties"/>
    <ds:schemaRef ds:uri="http://schemas.microsoft.com/office/infopath/2007/PartnerControls"/>
    <ds:schemaRef ds:uri="35ae7812-1ab0-4572-a6c7-91e90b93790a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DECFED2-6817-44CF-89C9-3E2446C569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645D4E-36F2-485B-A2AF-6316A8A76554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CB18B3B-D212-43DC-B6F5-CA8B3FF42D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1723</Words>
  <Characters>9478</Characters>
  <Application>Microsoft Office Word</Application>
  <DocSecurity>4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16 – Inspection avant bétonnage – Chaussée en béton</vt:lpstr>
    </vt:vector>
  </TitlesOfParts>
  <Company>Ministère des Transports, de la Mobilité durable et de l'Électrification des transports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21-Tableau de principales vérifications-Surveillance de construction du revêtement de la chaussée en béton</dc:title>
  <dc:subject>Inspection avant bétonnage – Chaussée en béton</dc:subject>
  <dc:creator>Ministère des Transports, de la Mobilité durable et de l'Électrification des transports</dc:creator>
  <cp:keywords>Annexe 21, inspection avant bétonnage , chaussée en béton, formulaire</cp:keywords>
  <cp:lastModifiedBy>Dotsenko, Tatiana</cp:lastModifiedBy>
  <cp:revision>2</cp:revision>
  <cp:lastPrinted>2020-03-11T18:02:00Z</cp:lastPrinted>
  <dcterms:created xsi:type="dcterms:W3CDTF">2021-04-27T18:32:00Z</dcterms:created>
  <dcterms:modified xsi:type="dcterms:W3CDTF">2021-04-27T18:32:00Z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0x0101004CF7858666DCF549A225B94A6B816A8100AB3C7E4DE926AD4D9A227E8828F57238</vt:lpwstr>
  </property>
  <property fmtid="{D5CDD505-2E9C-101B-9397-08002B2CF9AE}" pid="3" name="_dlc_DocIdItemGuid">
    <vt:lpwstr>cf7d90a4-db3d-4541-b991-33db72ecfd96</vt:lpwstr>
  </property>
</Properties>
</file>